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789" w:rsidRDefault="005F0789" w:rsidP="005F0789">
      <w:pPr>
        <w:pStyle w:val="Heading1"/>
        <w:spacing w:before="0" w:after="140" w:line="360" w:lineRule="auto"/>
        <w:rPr>
          <w:rFonts w:ascii="Times New Roman" w:hAnsi="Times New Roman" w:cs="Times New Roman"/>
          <w:sz w:val="28"/>
          <w:szCs w:val="28"/>
        </w:rPr>
      </w:pPr>
    </w:p>
    <w:p w:rsidR="00EC1AEE" w:rsidRPr="00D64545" w:rsidRDefault="00B406D8" w:rsidP="005F0789">
      <w:pPr>
        <w:pStyle w:val="Heading1"/>
        <w:spacing w:before="0" w:after="140" w:line="360" w:lineRule="auto"/>
        <w:rPr>
          <w:rFonts w:ascii="Times New Roman" w:hAnsi="Times New Roman" w:cs="Times New Roman"/>
          <w:sz w:val="28"/>
          <w:szCs w:val="28"/>
        </w:rPr>
      </w:pPr>
      <w:r w:rsidRPr="00D64545">
        <w:rPr>
          <w:rFonts w:ascii="Times New Roman" w:hAnsi="Times New Roman" w:cs="Times New Roman"/>
          <w:sz w:val="28"/>
          <w:szCs w:val="28"/>
        </w:rPr>
        <w:t xml:space="preserve">Genome-Scale Classification of </w:t>
      </w:r>
      <w:r w:rsidR="001406DD">
        <w:rPr>
          <w:rFonts w:ascii="Times New Roman" w:hAnsi="Times New Roman" w:cs="Times New Roman"/>
          <w:sz w:val="28"/>
          <w:szCs w:val="28"/>
        </w:rPr>
        <w:t>Flavivirus</w:t>
      </w:r>
      <w:r w:rsidRPr="00D64545">
        <w:rPr>
          <w:rFonts w:ascii="Times New Roman" w:hAnsi="Times New Roman" w:cs="Times New Roman"/>
          <w:sz w:val="28"/>
          <w:szCs w:val="28"/>
        </w:rPr>
        <w:t xml:space="preserve"> Host Range Using Composition and Codon-Usage Signatures</w:t>
      </w:r>
    </w:p>
    <w:p w:rsidR="00EC1AEE" w:rsidRDefault="00EC1AEE"/>
    <w:p w:rsidR="00F36B4D" w:rsidRPr="00D83C83" w:rsidRDefault="00D83C83">
      <w:pPr>
        <w:rPr>
          <w:rFonts w:ascii="Times New Roman" w:hAnsi="Times New Roman" w:cs="Times New Roman"/>
          <w:vertAlign w:val="superscript"/>
        </w:rPr>
      </w:pPr>
      <w:r w:rsidRPr="00D83C83">
        <w:rPr>
          <w:rFonts w:ascii="Times New Roman" w:hAnsi="Times New Roman" w:cs="Times New Roman"/>
        </w:rPr>
        <w:t xml:space="preserve">                       Brhanu F. Znabu</w:t>
      </w:r>
      <w:r>
        <w:rPr>
          <w:rFonts w:ascii="Times New Roman" w:hAnsi="Times New Roman" w:cs="Times New Roman"/>
          <w:vertAlign w:val="superscript"/>
        </w:rPr>
        <w:t>1, 2</w:t>
      </w:r>
      <w:r w:rsidRPr="00D83C83">
        <w:rPr>
          <w:rFonts w:ascii="Times New Roman" w:hAnsi="Times New Roman" w:cs="Times New Roman"/>
        </w:rPr>
        <w:t>, Nicole R. Sexton</w:t>
      </w:r>
      <w:r>
        <w:rPr>
          <w:rFonts w:ascii="Times New Roman" w:hAnsi="Times New Roman" w:cs="Times New Roman"/>
          <w:vertAlign w:val="superscript"/>
        </w:rPr>
        <w:t>1, 3*</w:t>
      </w:r>
    </w:p>
    <w:p w:rsidR="00D83C83" w:rsidRPr="00D83C83" w:rsidRDefault="00D83C83">
      <w:pPr>
        <w:rPr>
          <w:rFonts w:ascii="Times New Roman" w:hAnsi="Times New Roman" w:cs="Times New Roman"/>
          <w:bCs/>
        </w:rPr>
      </w:pPr>
    </w:p>
    <w:p w:rsidR="00F36B4D" w:rsidRPr="00D83C83" w:rsidRDefault="00D83C83" w:rsidP="00D83C83">
      <w:pPr>
        <w:spacing w:after="140" w:line="480" w:lineRule="auto"/>
        <w:rPr>
          <w:rFonts w:ascii="Times New Roman" w:hAnsi="Times New Roman" w:cs="Times New Roman"/>
        </w:rPr>
      </w:pPr>
      <w:r>
        <w:rPr>
          <w:rFonts w:ascii="Times New Roman" w:hAnsi="Times New Roman" w:cs="Times New Roman"/>
          <w:bCs/>
          <w:vertAlign w:val="superscript"/>
        </w:rPr>
        <w:t>1</w:t>
      </w:r>
      <w:r w:rsidRPr="00D83C83">
        <w:rPr>
          <w:rFonts w:ascii="Times New Roman" w:hAnsi="Times New Roman" w:cs="Times New Roman"/>
          <w:bCs/>
        </w:rPr>
        <w:t>Nebraska Center for Virology</w:t>
      </w:r>
      <w:r w:rsidRPr="00D83C83">
        <w:rPr>
          <w:rFonts w:ascii="Times New Roman" w:hAnsi="Times New Roman" w:cs="Times New Roman"/>
        </w:rPr>
        <w:t xml:space="preserve">, University of Nebraska-Lincoln, Morrison Center, 4240 Fair Street, Lincoln, NE </w:t>
      </w:r>
      <w:r w:rsidRPr="00D83C83">
        <w:rPr>
          <w:rFonts w:ascii="Times New Roman" w:hAnsi="Times New Roman" w:cs="Times New Roman"/>
          <w:bCs/>
        </w:rPr>
        <w:t>68583-0900</w:t>
      </w:r>
      <w:r w:rsidRPr="00D83C83">
        <w:rPr>
          <w:rFonts w:ascii="Times New Roman" w:hAnsi="Times New Roman" w:cs="Times New Roman"/>
        </w:rPr>
        <w:t>, USA.</w:t>
      </w:r>
    </w:p>
    <w:p w:rsidR="00D83C83" w:rsidRPr="00D83C83" w:rsidRDefault="00D83C83" w:rsidP="00D83C83">
      <w:pPr>
        <w:spacing w:after="140" w:line="480" w:lineRule="auto"/>
        <w:rPr>
          <w:rFonts w:ascii="Times New Roman" w:hAnsi="Times New Roman" w:cs="Times New Roman"/>
        </w:rPr>
      </w:pPr>
      <w:r>
        <w:rPr>
          <w:rFonts w:ascii="Times New Roman" w:hAnsi="Times New Roman" w:cs="Times New Roman"/>
          <w:bCs/>
          <w:vertAlign w:val="superscript"/>
        </w:rPr>
        <w:t>2</w:t>
      </w:r>
      <w:r w:rsidRPr="00D83C83">
        <w:rPr>
          <w:rFonts w:ascii="Times New Roman" w:hAnsi="Times New Roman" w:cs="Times New Roman"/>
          <w:bCs/>
        </w:rPr>
        <w:t>Biomedical Engineering Program</w:t>
      </w:r>
      <w:r w:rsidRPr="00D83C83">
        <w:rPr>
          <w:rFonts w:ascii="Times New Roman" w:hAnsi="Times New Roman" w:cs="Times New Roman"/>
        </w:rPr>
        <w:t xml:space="preserve">, College of Engineering, University of Nebraska-Lincoln, Lincoln, NE </w:t>
      </w:r>
      <w:r w:rsidRPr="00D83C83">
        <w:rPr>
          <w:rFonts w:ascii="Times New Roman" w:hAnsi="Times New Roman" w:cs="Times New Roman"/>
          <w:bCs/>
        </w:rPr>
        <w:t>68588-0642</w:t>
      </w:r>
      <w:r w:rsidRPr="00D83C83">
        <w:rPr>
          <w:rFonts w:ascii="Times New Roman" w:hAnsi="Times New Roman" w:cs="Times New Roman"/>
        </w:rPr>
        <w:t>, USA.</w:t>
      </w:r>
    </w:p>
    <w:p w:rsidR="00D83C83" w:rsidRDefault="00D83C83" w:rsidP="00D83C83">
      <w:pPr>
        <w:spacing w:after="140" w:line="480" w:lineRule="auto"/>
        <w:rPr>
          <w:rFonts w:ascii="Times New Roman" w:hAnsi="Times New Roman" w:cs="Times New Roman"/>
        </w:rPr>
      </w:pPr>
      <w:r>
        <w:rPr>
          <w:rFonts w:ascii="Times New Roman" w:hAnsi="Times New Roman" w:cs="Times New Roman"/>
          <w:bCs/>
          <w:vertAlign w:val="superscript"/>
        </w:rPr>
        <w:t>3</w:t>
      </w:r>
      <w:r w:rsidRPr="00D83C83">
        <w:rPr>
          <w:rFonts w:ascii="Times New Roman" w:hAnsi="Times New Roman" w:cs="Times New Roman"/>
          <w:bCs/>
        </w:rPr>
        <w:t>School of Biological Sciences</w:t>
      </w:r>
      <w:r w:rsidRPr="00D83C83">
        <w:rPr>
          <w:rFonts w:ascii="Times New Roman" w:hAnsi="Times New Roman" w:cs="Times New Roman"/>
        </w:rPr>
        <w:t xml:space="preserve">, University of Nebraska-Lincoln, 1104 T Street, Manter Hall, Lincoln, NE </w:t>
      </w:r>
      <w:r w:rsidRPr="00D83C83">
        <w:rPr>
          <w:rFonts w:ascii="Times New Roman" w:hAnsi="Times New Roman" w:cs="Times New Roman"/>
          <w:bCs/>
        </w:rPr>
        <w:t>68588-0118</w:t>
      </w:r>
      <w:r w:rsidRPr="00D83C83">
        <w:rPr>
          <w:rFonts w:ascii="Times New Roman" w:hAnsi="Times New Roman" w:cs="Times New Roman"/>
        </w:rPr>
        <w:t>, USA.</w:t>
      </w:r>
    </w:p>
    <w:p w:rsidR="00A32DF8" w:rsidRDefault="00A32DF8" w:rsidP="00D83C83">
      <w:pPr>
        <w:spacing w:after="140" w:line="480" w:lineRule="auto"/>
        <w:rPr>
          <w:rFonts w:ascii="Times New Roman" w:hAnsi="Times New Roman" w:cs="Times New Roman"/>
        </w:rPr>
      </w:pPr>
      <w:r w:rsidRPr="00A32DF8">
        <w:rPr>
          <w:rFonts w:ascii="Times New Roman" w:hAnsi="Times New Roman" w:cs="Times New Roman"/>
          <w:vertAlign w:val="superscript"/>
        </w:rPr>
        <w:t>*</w:t>
      </w:r>
      <w:r w:rsidRPr="00A32DF8">
        <w:rPr>
          <w:rFonts w:ascii="Times New Roman" w:hAnsi="Times New Roman" w:cs="Times New Roman"/>
          <w:b/>
        </w:rPr>
        <w:t>Corresponding author</w:t>
      </w:r>
      <w:r>
        <w:rPr>
          <w:rFonts w:ascii="Times New Roman" w:hAnsi="Times New Roman" w:cs="Times New Roman"/>
          <w:b/>
        </w:rPr>
        <w:t xml:space="preserve">: </w:t>
      </w:r>
      <w:r w:rsidRPr="00A32DF8">
        <w:rPr>
          <w:rFonts w:ascii="Times New Roman" w:hAnsi="Times New Roman" w:cs="Times New Roman"/>
        </w:rPr>
        <w:t>Nicole R. Sexton</w:t>
      </w:r>
    </w:p>
    <w:p w:rsidR="00A32DF8" w:rsidRPr="00B147D3" w:rsidRDefault="00A32DF8" w:rsidP="00A32DF8">
      <w:pPr>
        <w:pStyle w:val="paragraph"/>
        <w:spacing w:after="0" w:line="480" w:lineRule="auto"/>
        <w:textAlignment w:val="baseline"/>
      </w:pPr>
      <w:r w:rsidRPr="00DC7D82">
        <w:rPr>
          <w:rStyle w:val="normaltextrun"/>
          <w:b/>
          <w:bCs/>
        </w:rPr>
        <w:t xml:space="preserve">E-mail: </w:t>
      </w:r>
      <w:r w:rsidRPr="00DC7D82">
        <w:rPr>
          <w:rStyle w:val="normaltextrun"/>
          <w:color w:val="000000"/>
          <w:shd w:val="clear" w:color="auto" w:fill="FFFFFF"/>
        </w:rPr>
        <w:t>nicole.sexton@unl.edu</w:t>
      </w:r>
      <w:r w:rsidRPr="00DC7D82">
        <w:rPr>
          <w:rStyle w:val="eop"/>
          <w:color w:val="000000"/>
        </w:rPr>
        <w:t> </w:t>
      </w:r>
    </w:p>
    <w:p w:rsidR="00A32DF8" w:rsidRDefault="008D49C7" w:rsidP="008D49C7">
      <w:pPr>
        <w:spacing w:after="140" w:line="480" w:lineRule="auto"/>
        <w:rPr>
          <w:rStyle w:val="Strong"/>
          <w:rFonts w:ascii="Times New Roman" w:hAnsi="Times New Roman" w:cs="Times New Roman"/>
          <w:b w:val="0"/>
        </w:rPr>
      </w:pPr>
      <w:r>
        <w:rPr>
          <w:rFonts w:ascii="Times New Roman" w:hAnsi="Times New Roman" w:cs="Times New Roman"/>
          <w:b/>
        </w:rPr>
        <w:t xml:space="preserve">Running title: </w:t>
      </w:r>
      <w:r w:rsidRPr="008D49C7">
        <w:rPr>
          <w:rStyle w:val="Strong"/>
          <w:rFonts w:ascii="Times New Roman" w:hAnsi="Times New Roman" w:cs="Times New Roman"/>
          <w:b w:val="0"/>
        </w:rPr>
        <w:t xml:space="preserve">Genome Composition Predicts </w:t>
      </w:r>
      <w:r w:rsidRPr="008D49C7">
        <w:rPr>
          <w:rStyle w:val="Strong"/>
          <w:rFonts w:ascii="Times New Roman" w:hAnsi="Times New Roman" w:cs="Times New Roman"/>
          <w:b w:val="0"/>
          <w:i/>
        </w:rPr>
        <w:t>flavivirus</w:t>
      </w:r>
      <w:r w:rsidRPr="008D49C7">
        <w:rPr>
          <w:rStyle w:val="Strong"/>
          <w:rFonts w:ascii="Times New Roman" w:hAnsi="Times New Roman" w:cs="Times New Roman"/>
          <w:b w:val="0"/>
        </w:rPr>
        <w:t xml:space="preserve"> Host Range</w:t>
      </w:r>
    </w:p>
    <w:p w:rsidR="008D49C7" w:rsidRDefault="008D49C7" w:rsidP="008D49C7">
      <w:pPr>
        <w:spacing w:after="140" w:line="480" w:lineRule="auto"/>
        <w:rPr>
          <w:rFonts w:ascii="Times New Roman" w:hAnsi="Times New Roman" w:cs="Times New Roman"/>
        </w:rPr>
      </w:pPr>
      <w:r>
        <w:rPr>
          <w:rFonts w:ascii="Times New Roman" w:hAnsi="Times New Roman" w:cs="Times New Roman"/>
          <w:b/>
        </w:rPr>
        <w:t xml:space="preserve">Keywords: </w:t>
      </w:r>
      <w:r w:rsidRPr="008D49C7">
        <w:rPr>
          <w:rFonts w:ascii="Times New Roman" w:hAnsi="Times New Roman" w:cs="Times New Roman"/>
          <w:i/>
        </w:rPr>
        <w:t>flavivirus</w:t>
      </w:r>
      <w:r w:rsidRPr="008D49C7">
        <w:rPr>
          <w:rFonts w:ascii="Times New Roman" w:hAnsi="Times New Roman" w:cs="Times New Roman"/>
        </w:rPr>
        <w:t>, insect-specific flavivirus, host range, CpG suppression, codon usage, genome composition, species-stratified classification</w:t>
      </w:r>
    </w:p>
    <w:p w:rsidR="000E1756" w:rsidRPr="00D64545" w:rsidRDefault="000E1756" w:rsidP="008D49C7">
      <w:pPr>
        <w:spacing w:after="140" w:line="480" w:lineRule="auto"/>
        <w:rPr>
          <w:rFonts w:ascii="Times New Roman" w:hAnsi="Times New Roman" w:cs="Times New Roman"/>
          <w:b/>
        </w:rPr>
      </w:pPr>
      <w:r w:rsidRPr="00D64545">
        <w:rPr>
          <w:rStyle w:val="Strong"/>
          <w:rFonts w:ascii="Times New Roman" w:hAnsi="Times New Roman" w:cs="Times New Roman"/>
        </w:rPr>
        <w:t>Word Count:</w:t>
      </w:r>
      <w:r w:rsidRPr="00D64545">
        <w:rPr>
          <w:rFonts w:ascii="Times New Roman" w:hAnsi="Times New Roman" w:cs="Times New Roman"/>
        </w:rPr>
        <w:t xml:space="preserve"> </w:t>
      </w:r>
      <w:r w:rsidR="00D64545" w:rsidRPr="00D64545">
        <w:rPr>
          <w:rFonts w:ascii="Times New Roman" w:hAnsi="Times New Roman" w:cs="Times New Roman"/>
        </w:rPr>
        <w:t>191 (abstract), 107</w:t>
      </w:r>
      <w:r w:rsidRPr="00D64545">
        <w:rPr>
          <w:rFonts w:ascii="Times New Roman" w:hAnsi="Times New Roman" w:cs="Times New Roman"/>
        </w:rPr>
        <w:t xml:space="preserve"> (importance)</w:t>
      </w:r>
    </w:p>
    <w:p w:rsidR="00F36B4D" w:rsidRDefault="00F36B4D"/>
    <w:p w:rsidR="00F36B4D" w:rsidRDefault="00F36B4D"/>
    <w:p w:rsidR="00F36B4D" w:rsidRDefault="00F36B4D"/>
    <w:p w:rsidR="00F36B4D" w:rsidRDefault="00F36B4D"/>
    <w:p w:rsidR="00F36B4D" w:rsidRDefault="00F36B4D"/>
    <w:p w:rsidR="000E1756" w:rsidRDefault="00B406D8" w:rsidP="0029256E">
      <w:pPr>
        <w:pStyle w:val="Heading2"/>
        <w:rPr>
          <w:rFonts w:ascii="Times New Roman" w:hAnsi="Times New Roman" w:cs="Times New Roman"/>
          <w:sz w:val="24"/>
          <w:szCs w:val="24"/>
        </w:rPr>
      </w:pPr>
      <w:bookmarkStart w:id="0" w:name="abstract"/>
      <w:r w:rsidRPr="000E1756">
        <w:rPr>
          <w:rFonts w:ascii="Times New Roman" w:hAnsi="Times New Roman" w:cs="Times New Roman"/>
          <w:sz w:val="24"/>
          <w:szCs w:val="24"/>
        </w:rPr>
        <w:t>ABSTRACT</w:t>
      </w:r>
    </w:p>
    <w:p w:rsidR="0029256E" w:rsidRPr="0029256E" w:rsidRDefault="0029256E" w:rsidP="0029256E">
      <w:pPr>
        <w:pStyle w:val="BodyText"/>
      </w:pPr>
    </w:p>
    <w:p w:rsidR="00EC1AEE" w:rsidRPr="0029256E" w:rsidRDefault="00B406D8" w:rsidP="0029256E">
      <w:pPr>
        <w:pStyle w:val="FirstParagraph"/>
        <w:spacing w:before="0" w:after="140" w:line="480" w:lineRule="auto"/>
        <w:rPr>
          <w:rFonts w:ascii="Times New Roman" w:hAnsi="Times New Roman" w:cs="Times New Roman"/>
        </w:rPr>
      </w:pPr>
      <w:r w:rsidRPr="0029256E">
        <w:rPr>
          <w:rFonts w:ascii="Times New Roman" w:hAnsi="Times New Roman" w:cs="Times New Roman"/>
        </w:rPr>
        <w:t xml:space="preserve">Insect-specific flaviviruses (ISFVs) are restricted to invertebrate hosts, whereas dual-host flaviviruses replicate in both arthropod vectors and vertebrate hosts. The genomic determinants underlying this host range dichotomy remain incompletely characterized. We hypothesized that host range in </w:t>
      </w:r>
      <w:r w:rsidRPr="0029256E">
        <w:rPr>
          <w:rFonts w:ascii="Times New Roman" w:hAnsi="Times New Roman" w:cs="Times New Roman"/>
          <w:i/>
          <w:iCs/>
        </w:rPr>
        <w:t>Flavivirus</w:t>
      </w:r>
      <w:r w:rsidRPr="0029256E">
        <w:rPr>
          <w:rFonts w:ascii="Times New Roman" w:hAnsi="Times New Roman" w:cs="Times New Roman"/>
        </w:rPr>
        <w:t xml:space="preserve"> is associated with measurable genome-wide signatures in nucleotide composition and codon usage. We curated 1,285 complete </w:t>
      </w:r>
      <w:r w:rsidRPr="0029256E">
        <w:rPr>
          <w:rFonts w:ascii="Times New Roman" w:hAnsi="Times New Roman" w:cs="Times New Roman"/>
          <w:i/>
          <w:iCs/>
        </w:rPr>
        <w:t>Flavivirus</w:t>
      </w:r>
      <w:r w:rsidRPr="0029256E">
        <w:rPr>
          <w:rFonts w:ascii="Times New Roman" w:hAnsi="Times New Roman" w:cs="Times New Roman"/>
        </w:rPr>
        <w:t xml:space="preserve"> genomes representing 53 species with evidence-backed host range annotations, comprising 1,178 dual-host genomes from 29 species and 107 ISFV genomes from 24 species. We extracted 97 features spanning nucleotide composition, dinucleotide patterns, and relative synonymous codon usage (RSCU), and evaluated classifiers using species-stratified partitioning to prevent data leakage. Dual-host flaviviruses exhibited pronounced CpG suppression (observed/expected ratio = 0.427) compared with ISFVs (0.858), consistent with vertebrate zinc-finger antiviral protein (ZAP)-mediated selection (Cohen’s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9.87</m:t>
        </m:r>
      </m:oMath>
      <w:r w:rsidRPr="0029256E">
        <w:rPr>
          <w:rFonts w:ascii="Times New Roman" w:hAnsi="Times New Roman" w:cs="Times New Roman"/>
        </w:rPr>
        <w:t xml:space="preserve">). Dinucleotide features alone achieved perfect classification (precision-recall area under the curve = 1.000) on a held-out test set of 120 genomes from 11 species not seen during training. Leave-one-species-out cross-validation correctly classified 20 of 24 ISFV species (83.3%), with four species exhibiting intermediate CpG suppression profiles. Host range in </w:t>
      </w:r>
      <w:r w:rsidRPr="0029256E">
        <w:rPr>
          <w:rFonts w:ascii="Times New Roman" w:hAnsi="Times New Roman" w:cs="Times New Roman"/>
          <w:i/>
          <w:iCs/>
        </w:rPr>
        <w:t>Flavivirus</w:t>
      </w:r>
      <w:r w:rsidRPr="0029256E">
        <w:rPr>
          <w:rFonts w:ascii="Times New Roman" w:hAnsi="Times New Roman" w:cs="Times New Roman"/>
        </w:rPr>
        <w:t xml:space="preserve"> is encoded in genome-wide compositional signatures, and CpG dinucleotide suppression represents the primary discriminative feature.</w:t>
      </w:r>
    </w:p>
    <w:p w:rsidR="00EC1AEE" w:rsidRPr="0029256E" w:rsidRDefault="00EC1AEE">
      <w:pPr>
        <w:rPr>
          <w:rFonts w:ascii="Times New Roman" w:hAnsi="Times New Roman" w:cs="Times New Roman"/>
        </w:rPr>
      </w:pPr>
    </w:p>
    <w:p w:rsidR="00D64545" w:rsidRDefault="00D64545" w:rsidP="00D64545">
      <w:pPr>
        <w:pStyle w:val="Heading2"/>
      </w:pPr>
      <w:bookmarkStart w:id="1" w:name="importance"/>
      <w:bookmarkEnd w:id="0"/>
    </w:p>
    <w:p w:rsidR="00D64545" w:rsidRDefault="00D64545" w:rsidP="00D64545">
      <w:pPr>
        <w:pStyle w:val="Heading2"/>
        <w:rPr>
          <w:rFonts w:ascii="Times New Roman" w:hAnsi="Times New Roman" w:cs="Times New Roman"/>
          <w:sz w:val="24"/>
          <w:szCs w:val="24"/>
        </w:rPr>
      </w:pPr>
      <w:r>
        <w:rPr>
          <w:rFonts w:ascii="Times New Roman" w:hAnsi="Times New Roman" w:cs="Times New Roman"/>
          <w:sz w:val="24"/>
          <w:szCs w:val="24"/>
        </w:rPr>
        <w:t>IMPORTANCE</w:t>
      </w:r>
    </w:p>
    <w:p w:rsidR="001545CC" w:rsidRPr="00D64545" w:rsidRDefault="001545CC" w:rsidP="00D64545">
      <w:pPr>
        <w:pStyle w:val="Heading2"/>
        <w:rPr>
          <w:rFonts w:ascii="Times New Roman" w:hAnsi="Times New Roman" w:cs="Times New Roman"/>
          <w:sz w:val="24"/>
          <w:szCs w:val="24"/>
        </w:rPr>
      </w:pPr>
    </w:p>
    <w:p w:rsidR="00EC1AEE" w:rsidRPr="001545CC" w:rsidRDefault="00B406D8" w:rsidP="0029256E">
      <w:pPr>
        <w:pStyle w:val="FirstParagraph"/>
        <w:spacing w:before="0" w:after="140" w:line="480" w:lineRule="auto"/>
        <w:rPr>
          <w:rFonts w:ascii="Times New Roman" w:hAnsi="Times New Roman" w:cs="Times New Roman"/>
        </w:rPr>
      </w:pPr>
      <w:r>
        <w:rPr>
          <w:rFonts w:ascii="Times New Roman" w:hAnsi="Times New Roman" w:cs="Times New Roman"/>
        </w:rPr>
        <w:t>Insect-specific flaviviruses cannot infect vertebrate cells, whereas closely related arboviruses such as dengue, Zika, and West Nile viruses cause significant human disease. Understanding the genomic basis of this host range dichotomy has implications for viral emergence surveillance, evolutionary biology, and development of ISFVs as vaccine platforms. We demonstrate that</w:t>
      </w:r>
      <w:r w:rsidR="00D64545">
        <w:rPr>
          <w:rFonts w:ascii="Times New Roman" w:hAnsi="Times New Roman" w:cs="Times New Roman"/>
        </w:rPr>
        <w:t xml:space="preserve"> interpretable genomic features, </w:t>
      </w:r>
      <w:r>
        <w:rPr>
          <w:rFonts w:ascii="Times New Roman" w:hAnsi="Times New Roman" w:cs="Times New Roman"/>
        </w:rPr>
        <w:t>particularly</w:t>
      </w:r>
      <w:r w:rsidR="00D64545">
        <w:rPr>
          <w:rFonts w:ascii="Times New Roman" w:hAnsi="Times New Roman" w:cs="Times New Roman"/>
        </w:rPr>
        <w:t xml:space="preserve"> </w:t>
      </w:r>
      <w:r>
        <w:rPr>
          <w:rFonts w:ascii="Times New Roman" w:hAnsi="Times New Roman" w:cs="Times New Roman"/>
        </w:rPr>
        <w:t>CpG dinucleotide suppression refle</w:t>
      </w:r>
      <w:r w:rsidR="00D64545">
        <w:rPr>
          <w:rFonts w:ascii="Times New Roman" w:hAnsi="Times New Roman" w:cs="Times New Roman"/>
        </w:rPr>
        <w:t xml:space="preserve">cting vertebrate immune evasion, </w:t>
      </w:r>
      <w:r>
        <w:rPr>
          <w:rFonts w:ascii="Times New Roman" w:hAnsi="Times New Roman" w:cs="Times New Roman"/>
        </w:rPr>
        <w:t>accurately distinguish ISFVs from dual-host flaviviruses, including for species not seen during model training. Four ISFV species with atypical compositional profiles may represent evolutionary intermediates or candidates for host range reassessment. This work provides a validated computational framework for rapid host range inference from genomic sequence data.</w:t>
      </w:r>
    </w:p>
    <w:p w:rsidR="00EC1AEE" w:rsidRDefault="00EC1AEE"/>
    <w:p w:rsidR="001545CC" w:rsidRDefault="001545CC">
      <w:pPr>
        <w:pStyle w:val="Heading2"/>
      </w:pPr>
      <w:bookmarkStart w:id="2" w:name="introduction"/>
      <w:bookmarkEnd w:id="1"/>
    </w:p>
    <w:p w:rsidR="001545CC" w:rsidRDefault="001545CC" w:rsidP="001545CC">
      <w:pPr>
        <w:pStyle w:val="BodyText"/>
      </w:pPr>
    </w:p>
    <w:p w:rsidR="001545CC" w:rsidRDefault="001545CC" w:rsidP="001545CC">
      <w:pPr>
        <w:pStyle w:val="BodyText"/>
      </w:pPr>
    </w:p>
    <w:p w:rsidR="001545CC" w:rsidRDefault="001545CC" w:rsidP="001545CC">
      <w:pPr>
        <w:pStyle w:val="BodyText"/>
      </w:pPr>
    </w:p>
    <w:p w:rsidR="001545CC" w:rsidRDefault="001545CC" w:rsidP="001545CC">
      <w:pPr>
        <w:pStyle w:val="BodyText"/>
      </w:pPr>
    </w:p>
    <w:p w:rsidR="001545CC" w:rsidRDefault="001545CC" w:rsidP="001545CC">
      <w:pPr>
        <w:pStyle w:val="BodyText"/>
      </w:pPr>
    </w:p>
    <w:p w:rsidR="001545CC" w:rsidRDefault="001545CC" w:rsidP="001545CC">
      <w:pPr>
        <w:pStyle w:val="BodyText"/>
      </w:pPr>
    </w:p>
    <w:p w:rsidR="001545CC" w:rsidRDefault="001545CC" w:rsidP="001545CC">
      <w:pPr>
        <w:pStyle w:val="BodyText"/>
      </w:pPr>
    </w:p>
    <w:p w:rsidR="001545CC" w:rsidRDefault="001545CC" w:rsidP="001545CC">
      <w:pPr>
        <w:pStyle w:val="BodyText"/>
      </w:pPr>
    </w:p>
    <w:p w:rsidR="001545CC" w:rsidRDefault="001545CC" w:rsidP="001545CC">
      <w:pPr>
        <w:pStyle w:val="BodyText"/>
      </w:pPr>
    </w:p>
    <w:p w:rsidR="001545CC" w:rsidRDefault="001545CC" w:rsidP="001545CC">
      <w:pPr>
        <w:pStyle w:val="BodyText"/>
      </w:pPr>
    </w:p>
    <w:p w:rsidR="001545CC" w:rsidRPr="001545CC" w:rsidRDefault="001545CC" w:rsidP="001545CC">
      <w:pPr>
        <w:pStyle w:val="BodyText"/>
      </w:pPr>
    </w:p>
    <w:p w:rsidR="00EC1AEE" w:rsidRPr="004A1DFF" w:rsidRDefault="00B406D8">
      <w:pPr>
        <w:pStyle w:val="Heading2"/>
        <w:rPr>
          <w:rFonts w:ascii="Times New Roman" w:hAnsi="Times New Roman" w:cs="Times New Roman"/>
          <w:sz w:val="24"/>
          <w:szCs w:val="24"/>
        </w:rPr>
      </w:pPr>
      <w:r w:rsidRPr="004A1DFF">
        <w:rPr>
          <w:rFonts w:ascii="Times New Roman" w:hAnsi="Times New Roman" w:cs="Times New Roman"/>
          <w:sz w:val="24"/>
          <w:szCs w:val="24"/>
        </w:rPr>
        <w:t>INTRODUCTION</w:t>
      </w:r>
    </w:p>
    <w:p w:rsidR="00B6721C" w:rsidRPr="00B6721C" w:rsidRDefault="00B6721C" w:rsidP="00B6721C">
      <w:pPr>
        <w:pStyle w:val="BodyText"/>
      </w:pPr>
    </w:p>
    <w:p w:rsidR="00EC1AEE" w:rsidRPr="00B406D8" w:rsidRDefault="00BB15B6" w:rsidP="004A1DFF">
      <w:pPr>
        <w:pStyle w:val="FirstParagraph"/>
        <w:spacing w:before="0" w:after="140" w:line="480" w:lineRule="auto"/>
        <w:rPr>
          <w:rFonts w:ascii="Times New Roman" w:hAnsi="Times New Roman" w:cs="Times New Roman"/>
        </w:rPr>
      </w:pPr>
      <w:r w:rsidRPr="00BB15B6">
        <w:rPr>
          <w:rFonts w:ascii="Times New Roman" w:hAnsi="Times New Roman" w:cs="Times New Roman"/>
        </w:rPr>
        <w:t xml:space="preserve">The genus </w:t>
      </w:r>
      <w:r w:rsidRPr="00BB15B6">
        <w:rPr>
          <w:rStyle w:val="Emphasis"/>
          <w:rFonts w:ascii="Times New Roman" w:hAnsi="Times New Roman" w:cs="Times New Roman"/>
        </w:rPr>
        <w:t>Flavivirus</w:t>
      </w:r>
      <w:r w:rsidRPr="00BB15B6">
        <w:rPr>
          <w:rFonts w:ascii="Times New Roman" w:hAnsi="Times New Roman" w:cs="Times New Roman"/>
        </w:rPr>
        <w:t xml:space="preserve"> (recently reclassified as </w:t>
      </w:r>
      <w:r w:rsidRPr="00BB15B6">
        <w:rPr>
          <w:rStyle w:val="Emphasis"/>
          <w:rFonts w:ascii="Times New Roman" w:hAnsi="Times New Roman" w:cs="Times New Roman"/>
        </w:rPr>
        <w:t>Orthoflavivirus</w:t>
      </w:r>
      <w:r w:rsidRPr="00BB15B6">
        <w:rPr>
          <w:rFonts w:ascii="Times New Roman" w:hAnsi="Times New Roman" w:cs="Times New Roman"/>
        </w:rPr>
        <w:t xml:space="preserve">; family </w:t>
      </w:r>
      <w:r w:rsidRPr="00BB15B6">
        <w:rPr>
          <w:rStyle w:val="Emphasis"/>
          <w:rFonts w:ascii="Times New Roman" w:hAnsi="Times New Roman" w:cs="Times New Roman"/>
        </w:rPr>
        <w:t>Flaviviridae</w:t>
      </w:r>
      <w:r w:rsidRPr="00BB15B6">
        <w:rPr>
          <w:rFonts w:ascii="Times New Roman" w:hAnsi="Times New Roman" w:cs="Times New Roman"/>
        </w:rPr>
        <w:t>)</w:t>
      </w:r>
      <w:r w:rsidR="00B406D8">
        <w:rPr>
          <w:rFonts w:ascii="Times New Roman" w:hAnsi="Times New Roman" w:cs="Times New Roman"/>
        </w:rPr>
        <w:t xml:space="preserve"> encompasses positive-sense, single-stranded RNA vir</w:t>
      </w:r>
      <w:r w:rsidR="00B22F47">
        <w:rPr>
          <w:rFonts w:ascii="Times New Roman" w:hAnsi="Times New Roman" w:cs="Times New Roman"/>
        </w:rPr>
        <w:t xml:space="preserve">uses that </w:t>
      </w:r>
      <w:r w:rsidR="00B22F47" w:rsidRPr="00B22F47">
        <w:rPr>
          <w:rFonts w:ascii="Times New Roman" w:hAnsi="Times New Roman" w:cs="Times New Roman"/>
        </w:rPr>
        <w:t>include major arthropod-borne human pathogens</w:t>
      </w:r>
      <w:r w:rsidR="00B22F47">
        <w:t xml:space="preserve"> </w:t>
      </w:r>
      <w:r w:rsidR="00B406D8">
        <w:rPr>
          <w:rFonts w:ascii="Times New Roman" w:hAnsi="Times New Roman" w:cs="Times New Roman"/>
        </w:rPr>
        <w:t>(1, 2). Dengue virus, West Nile virus, Zika virus, yellow fever virus, and Japanese encephalitis virus are transmitted between arthropod vectors and vertebrate hosts, causing hundreds of millions of infections and tens of thousands of deaths annually (3, 4). These dual-host flaviviruses maintain transmission cycles involving mosquitoes or ticks as vectors and mammals or birds as amplifying hosts (5). Geographic expansion of competent vectors, coupled with climate change and urbanization, continues to drive arboviral disease emergence (6, 7).</w:t>
      </w:r>
    </w:p>
    <w:p w:rsidR="00EC1AEE" w:rsidRPr="00B406D8" w:rsidRDefault="00B406D8" w:rsidP="004A1DFF">
      <w:pPr>
        <w:pStyle w:val="BodyText"/>
        <w:spacing w:before="0" w:after="140" w:line="480" w:lineRule="auto"/>
        <w:rPr>
          <w:rFonts w:ascii="Times New Roman" w:hAnsi="Times New Roman" w:cs="Times New Roman"/>
        </w:rPr>
      </w:pPr>
      <w:r>
        <w:rPr>
          <w:rFonts w:ascii="Times New Roman" w:hAnsi="Times New Roman" w:cs="Times New Roman"/>
        </w:rPr>
        <w:t xml:space="preserve">Insect-specific flaviviruses (ISFVs) are a phylogenetically diverse group restricted to invertebrate hosts (8). First identified with cell fusing agent virus (CFAV) in </w:t>
      </w:r>
      <w:r>
        <w:rPr>
          <w:rFonts w:ascii="Times New Roman" w:hAnsi="Times New Roman" w:cs="Times New Roman"/>
          <w:i/>
          <w:iCs/>
        </w:rPr>
        <w:t>Aedes aegypti</w:t>
      </w:r>
      <w:r>
        <w:rPr>
          <w:rFonts w:ascii="Times New Roman" w:hAnsi="Times New Roman" w:cs="Times New Roman"/>
        </w:rPr>
        <w:t xml:space="preserve"> cell cultures (10), ISFVs have been detected in numerous arthropod species across diverse geographic regions (11, 12</w:t>
      </w:r>
      <w:r w:rsidR="00693342">
        <w:rPr>
          <w:rFonts w:ascii="Times New Roman" w:hAnsi="Times New Roman" w:cs="Times New Roman"/>
        </w:rPr>
        <w:t>,</w:t>
      </w:r>
      <w:r w:rsidR="00BB15B6">
        <w:rPr>
          <w:rFonts w:ascii="Times New Roman" w:hAnsi="Times New Roman" w:cs="Times New Roman"/>
        </w:rPr>
        <w:t xml:space="preserve"> </w:t>
      </w:r>
      <w:r w:rsidR="00693342">
        <w:rPr>
          <w:rFonts w:ascii="Times New Roman" w:hAnsi="Times New Roman" w:cs="Times New Roman"/>
        </w:rPr>
        <w:t>13</w:t>
      </w:r>
      <w:r>
        <w:rPr>
          <w:rFonts w:ascii="Times New Roman" w:hAnsi="Times New Roman" w:cs="Times New Roman"/>
        </w:rPr>
        <w:t>). ISFVs cannot replicate in vertebrate cells, a phenotype demonstrated through infection assays in mammalian cell lines (14, 18). Proposed mechanisms for host restriction include defects in viral entry, RNA replication, and evasion of vertebrate innate immunity, as demonstrated in insect-specific alphaviruses (15) and flaviviruses (16). ISFVs have attracted interest as biological control agents and chimeric vaccine platforms (17, 18</w:t>
      </w:r>
      <w:r w:rsidR="0018710F">
        <w:rPr>
          <w:rFonts w:ascii="Times New Roman" w:hAnsi="Times New Roman" w:cs="Times New Roman"/>
        </w:rPr>
        <w:t>, 56</w:t>
      </w:r>
      <w:r>
        <w:rPr>
          <w:rFonts w:ascii="Times New Roman" w:hAnsi="Times New Roman" w:cs="Times New Roman"/>
        </w:rPr>
        <w:t>).</w:t>
      </w:r>
    </w:p>
    <w:p w:rsidR="00EC1AEE" w:rsidRPr="00B406D8" w:rsidRDefault="00B406D8" w:rsidP="004A1DFF">
      <w:pPr>
        <w:pStyle w:val="BodyText"/>
        <w:spacing w:before="0" w:after="140" w:line="480" w:lineRule="auto"/>
        <w:rPr>
          <w:rFonts w:ascii="Times New Roman" w:hAnsi="Times New Roman" w:cs="Times New Roman"/>
        </w:rPr>
      </w:pPr>
      <w:r>
        <w:rPr>
          <w:rFonts w:ascii="Times New Roman" w:hAnsi="Times New Roman" w:cs="Times New Roman"/>
        </w:rPr>
        <w:t xml:space="preserve">The dichotomy between dual-host and insect-specific flaviviruses provides a framework for investigating genomic signatures of vertebrate adaptation. Vertebrate cells deploy innate immune sensors recognizing foreign nucleic acids based on compositional features. The zinc-finger </w:t>
      </w:r>
      <w:r>
        <w:rPr>
          <w:rFonts w:ascii="Times New Roman" w:hAnsi="Times New Roman" w:cs="Times New Roman"/>
        </w:rPr>
        <w:lastRenderedPageBreak/>
        <w:t>antiviral protein (ZAP) binds CpG dinucleotides in viral RNA and recruits degradation machinery, imposing selective pressure for CpG suppression in vertebrate-replicating viruses (19, 20). RNA viruses replicating in vertebrate hosts exhibit pronounced CpG suppression relative to invertebrate-restricted viruses (21, 22). Additional dinucleotide biases, including UpA suppression, have been attributed to RNase L recognition (23, 24).</w:t>
      </w:r>
    </w:p>
    <w:p w:rsidR="00EC1AEE" w:rsidRPr="00B406D8" w:rsidRDefault="00B406D8" w:rsidP="004A1DFF">
      <w:pPr>
        <w:pStyle w:val="BodyText"/>
        <w:spacing w:before="0" w:after="140" w:line="480" w:lineRule="auto"/>
        <w:rPr>
          <w:rFonts w:ascii="Times New Roman" w:hAnsi="Times New Roman" w:cs="Times New Roman"/>
        </w:rPr>
      </w:pPr>
      <w:r>
        <w:rPr>
          <w:rFonts w:ascii="Times New Roman" w:hAnsi="Times New Roman" w:cs="Times New Roman"/>
        </w:rPr>
        <w:t>Codon usage patterns also reflect host adaptation (25, 26). Synonymous codon choice influences translation efficiency through interactions with host tRNA pools (27, 28). Dual-host arboviruses face the challenge of efficient translation in both arthropod and vertebrate cells, potentially constraining codon usage (29). ISFVs may optimize codon preferences for arthropod tRNA availability (25, 26). Relative synonymous codon usage (RSCU) quantifies these biases independent of amino acid composition (31).</w:t>
      </w:r>
    </w:p>
    <w:p w:rsidR="00EC1AEE" w:rsidRPr="00B406D8" w:rsidRDefault="00B406D8" w:rsidP="004A1DFF">
      <w:pPr>
        <w:pStyle w:val="BodyText"/>
        <w:spacing w:before="0" w:after="140" w:line="480" w:lineRule="auto"/>
        <w:rPr>
          <w:rFonts w:ascii="Times New Roman" w:hAnsi="Times New Roman" w:cs="Times New Roman"/>
        </w:rPr>
      </w:pPr>
      <w:r>
        <w:rPr>
          <w:rFonts w:ascii="Times New Roman" w:hAnsi="Times New Roman" w:cs="Times New Roman"/>
        </w:rPr>
        <w:t>Previous studies have demonstrated that CpG suppression varies with host range in RNA viruses (33), and elevated CpG content has been noted in insect-specific flavivirus lineages (9). However, these investigations were limited by small sample sizes, incomplete ISFV representation, or evaluation strategies that do not control for within-species sequence similarity. Because genomes from the same species share recent ancestry and high sequence identity, classifiers evaluated on randomly partitioned datasets risk learning species-specific rather than host range-specific signatures. This data leakage inflates performance estimates and undermines generalization claims (34). Rigorous assessment requires species-stratified evaluation wherein no species appears in multiple data partitions.</w:t>
      </w:r>
    </w:p>
    <w:p w:rsidR="00EC1AEE" w:rsidRPr="00B406D8" w:rsidRDefault="00B406D8" w:rsidP="004A1DFF">
      <w:pPr>
        <w:pStyle w:val="BodyText"/>
        <w:spacing w:before="0" w:after="140" w:line="480" w:lineRule="auto"/>
        <w:rPr>
          <w:rFonts w:ascii="Times New Roman" w:hAnsi="Times New Roman" w:cs="Times New Roman"/>
        </w:rPr>
      </w:pPr>
      <w:r>
        <w:rPr>
          <w:rFonts w:ascii="Times New Roman" w:hAnsi="Times New Roman" w:cs="Times New Roman"/>
        </w:rPr>
        <w:t xml:space="preserve">We assembled a curated dataset of 1,285 complete </w:t>
      </w:r>
      <w:r>
        <w:rPr>
          <w:rFonts w:ascii="Times New Roman" w:hAnsi="Times New Roman" w:cs="Times New Roman"/>
          <w:i/>
          <w:iCs/>
        </w:rPr>
        <w:t>Flavivirus</w:t>
      </w:r>
      <w:r>
        <w:rPr>
          <w:rFonts w:ascii="Times New Roman" w:hAnsi="Times New Roman" w:cs="Times New Roman"/>
        </w:rPr>
        <w:t xml:space="preserve"> genomes representing 53 species with evidence-backed host range annotations, comprising 1,178 dual-host genomes from 29 </w:t>
      </w:r>
      <w:r>
        <w:rPr>
          <w:rFonts w:ascii="Times New Roman" w:hAnsi="Times New Roman" w:cs="Times New Roman"/>
        </w:rPr>
        <w:lastRenderedPageBreak/>
        <w:t>species and 107 ISFV genomes from 24 species. We extracted 97 genome-scale features and evaluated discriminative capacity using species-stratified partitioning. We hypothesized that host range is associated with reproducible compositional signatures generalizing to species not seen during training. Our objectives were to (i) quantify compositional differences between ISFVs and dual-host flaviviruses, (ii) identify which feature classes contribute most to discrimination, and (iii) identify species with atypical profiles warranting investigation.</w:t>
      </w:r>
    </w:p>
    <w:p w:rsidR="00EC1AEE" w:rsidRDefault="00EC1AEE" w:rsidP="00B406D8">
      <w:pPr>
        <w:spacing w:after="0" w:line="480" w:lineRule="auto"/>
      </w:pPr>
    </w:p>
    <w:p w:rsidR="005C0421" w:rsidRDefault="005C0421" w:rsidP="00B406D8">
      <w:pPr>
        <w:spacing w:after="0" w:line="480" w:lineRule="auto"/>
      </w:pPr>
    </w:p>
    <w:p w:rsidR="005C0421" w:rsidRDefault="005C0421" w:rsidP="00B406D8">
      <w:pPr>
        <w:spacing w:after="0" w:line="480" w:lineRule="auto"/>
      </w:pPr>
    </w:p>
    <w:p w:rsidR="005C0421" w:rsidRDefault="005C0421" w:rsidP="00B406D8">
      <w:pPr>
        <w:spacing w:after="0" w:line="480" w:lineRule="auto"/>
      </w:pPr>
    </w:p>
    <w:p w:rsidR="005C0421" w:rsidRDefault="005C0421"/>
    <w:p w:rsidR="005C0421" w:rsidRDefault="005C0421"/>
    <w:p w:rsidR="005C0421" w:rsidRDefault="005C0421"/>
    <w:p w:rsidR="005C0421" w:rsidRDefault="005C0421"/>
    <w:p w:rsidR="005C0421" w:rsidRDefault="005C0421"/>
    <w:p w:rsidR="005C0421" w:rsidRDefault="005C0421"/>
    <w:p w:rsidR="005C0421" w:rsidRDefault="005C0421"/>
    <w:p w:rsidR="005C0421" w:rsidRDefault="005C0421"/>
    <w:p w:rsidR="005C0421" w:rsidRDefault="005C0421"/>
    <w:p w:rsidR="005C0421" w:rsidRDefault="005C0421"/>
    <w:p w:rsidR="005C0421" w:rsidRDefault="005C0421"/>
    <w:p w:rsidR="005C0421" w:rsidRDefault="005C0421"/>
    <w:p w:rsidR="00B406D8" w:rsidRDefault="00B406D8"/>
    <w:p w:rsidR="00B406D8" w:rsidRDefault="00B406D8"/>
    <w:p w:rsidR="004A1DFF" w:rsidRDefault="004A1DFF"/>
    <w:p w:rsidR="00B86A86" w:rsidRPr="00806709" w:rsidRDefault="00B406D8" w:rsidP="00806709">
      <w:pPr>
        <w:pStyle w:val="Heading2"/>
        <w:spacing w:before="0" w:after="140" w:line="480" w:lineRule="auto"/>
        <w:rPr>
          <w:rFonts w:ascii="Times New Roman" w:hAnsi="Times New Roman" w:cs="Times New Roman"/>
          <w:sz w:val="24"/>
          <w:szCs w:val="24"/>
        </w:rPr>
      </w:pPr>
      <w:bookmarkStart w:id="3" w:name="materials-and-methods"/>
      <w:bookmarkEnd w:id="2"/>
      <w:r w:rsidRPr="00806709">
        <w:rPr>
          <w:rFonts w:ascii="Times New Roman" w:hAnsi="Times New Roman" w:cs="Times New Roman"/>
          <w:sz w:val="24"/>
          <w:szCs w:val="24"/>
        </w:rPr>
        <w:t>MATERIALS AND METHODS</w:t>
      </w:r>
      <w:bookmarkStart w:id="4" w:name="X437d1efb23c913dce10c50e07626dc22f464cd5"/>
    </w:p>
    <w:p w:rsidR="00EC1AEE" w:rsidRPr="00806709" w:rsidRDefault="00B86A86" w:rsidP="00806709">
      <w:pPr>
        <w:pStyle w:val="Heading3"/>
        <w:spacing w:before="0" w:after="140" w:line="480" w:lineRule="auto"/>
        <w:rPr>
          <w:rFonts w:ascii="Times New Roman" w:hAnsi="Times New Roman" w:cs="Times New Roman"/>
        </w:rPr>
      </w:pPr>
      <w:r w:rsidRPr="00806709">
        <w:rPr>
          <w:rFonts w:ascii="Times New Roman" w:hAnsi="Times New Roman" w:cs="Times New Roman"/>
        </w:rPr>
        <w:t>Data acqui</w:t>
      </w:r>
      <w:r w:rsidRPr="00806709">
        <w:rPr>
          <w:rFonts w:ascii="Times New Roman" w:hAnsi="Times New Roman" w:cs="Times New Roman"/>
        </w:rPr>
        <w:t>sition, parsing, and validation</w:t>
      </w:r>
    </w:p>
    <w:p w:rsidR="00EC1AEE" w:rsidRPr="00806709" w:rsidRDefault="00B406D8" w:rsidP="00806709">
      <w:pPr>
        <w:pStyle w:val="FirstParagraph"/>
        <w:spacing w:before="0" w:after="140" w:line="480" w:lineRule="auto"/>
        <w:rPr>
          <w:rFonts w:ascii="Times New Roman" w:hAnsi="Times New Roman" w:cs="Times New Roman"/>
        </w:rPr>
      </w:pPr>
      <w:r w:rsidRPr="00806709">
        <w:rPr>
          <w:rFonts w:ascii="Times New Roman" w:hAnsi="Times New Roman" w:cs="Times New Roman"/>
        </w:rPr>
        <w:t xml:space="preserve">We performed genus-level retrieval from NCBI GenBank for all four </w:t>
      </w:r>
      <w:r w:rsidRPr="00806709">
        <w:rPr>
          <w:rFonts w:ascii="Times New Roman" w:hAnsi="Times New Roman" w:cs="Times New Roman"/>
          <w:i/>
          <w:iCs/>
        </w:rPr>
        <w:t>Flaviviridae</w:t>
      </w:r>
      <w:r w:rsidRPr="00806709">
        <w:rPr>
          <w:rFonts w:ascii="Times New Roman" w:hAnsi="Times New Roman" w:cs="Times New Roman"/>
        </w:rPr>
        <w:t xml:space="preserve"> genera: </w:t>
      </w:r>
      <w:r w:rsidRPr="00806709">
        <w:rPr>
          <w:rFonts w:ascii="Times New Roman" w:hAnsi="Times New Roman" w:cs="Times New Roman"/>
          <w:i/>
          <w:iCs/>
        </w:rPr>
        <w:t>Flavivirus</w:t>
      </w:r>
      <w:r w:rsidRPr="00806709">
        <w:rPr>
          <w:rFonts w:ascii="Times New Roman" w:hAnsi="Times New Roman" w:cs="Times New Roman"/>
        </w:rPr>
        <w:t xml:space="preserve">, </w:t>
      </w:r>
      <w:r w:rsidRPr="00806709">
        <w:rPr>
          <w:rFonts w:ascii="Times New Roman" w:hAnsi="Times New Roman" w:cs="Times New Roman"/>
          <w:i/>
          <w:iCs/>
        </w:rPr>
        <w:t>Hepacivirus</w:t>
      </w:r>
      <w:r w:rsidRPr="00806709">
        <w:rPr>
          <w:rFonts w:ascii="Times New Roman" w:hAnsi="Times New Roman" w:cs="Times New Roman"/>
        </w:rPr>
        <w:t xml:space="preserve">, </w:t>
      </w:r>
      <w:r w:rsidRPr="00806709">
        <w:rPr>
          <w:rFonts w:ascii="Times New Roman" w:hAnsi="Times New Roman" w:cs="Times New Roman"/>
          <w:i/>
          <w:iCs/>
        </w:rPr>
        <w:t>Pestivirus</w:t>
      </w:r>
      <w:r w:rsidRPr="00806709">
        <w:rPr>
          <w:rFonts w:ascii="Times New Roman" w:hAnsi="Times New Roman" w:cs="Times New Roman"/>
        </w:rPr>
        <w:t xml:space="preserve">, and </w:t>
      </w:r>
      <w:r w:rsidRPr="00806709">
        <w:rPr>
          <w:rFonts w:ascii="Times New Roman" w:hAnsi="Times New Roman" w:cs="Times New Roman"/>
          <w:i/>
          <w:iCs/>
        </w:rPr>
        <w:t>Pegivirus</w:t>
      </w:r>
      <w:r w:rsidRPr="00806709">
        <w:rPr>
          <w:rFonts w:ascii="Times New Roman" w:hAnsi="Times New Roman" w:cs="Times New Roman"/>
        </w:rPr>
        <w:t xml:space="preserve"> (35).</w:t>
      </w:r>
      <w:r w:rsidR="00BD59E4" w:rsidRPr="00806709">
        <w:rPr>
          <w:rFonts w:ascii="Times New Roman" w:hAnsi="Times New Roman" w:cs="Times New Roman"/>
        </w:rPr>
        <w:t xml:space="preserve"> Initial retrieval yielded 4,634</w:t>
      </w:r>
      <w:r w:rsidRPr="00806709">
        <w:rPr>
          <w:rFonts w:ascii="Times New Roman" w:hAnsi="Times New Roman" w:cs="Times New Roman"/>
        </w:rPr>
        <w:t xml:space="preserve"> unique accessions (</w:t>
      </w:r>
      <w:r w:rsidRPr="00806709">
        <w:rPr>
          <w:rFonts w:ascii="Times New Roman" w:hAnsi="Times New Roman" w:cs="Times New Roman"/>
          <w:i/>
          <w:iCs/>
        </w:rPr>
        <w:t>Flavivirus</w:t>
      </w:r>
      <w:r w:rsidR="003B44AE" w:rsidRPr="00806709">
        <w:rPr>
          <w:rFonts w:ascii="Times New Roman" w:hAnsi="Times New Roman" w:cs="Times New Roman"/>
        </w:rPr>
        <w:t>: 1,417</w:t>
      </w:r>
      <w:r w:rsidRPr="00806709">
        <w:rPr>
          <w:rFonts w:ascii="Times New Roman" w:hAnsi="Times New Roman" w:cs="Times New Roman"/>
        </w:rPr>
        <w:t xml:space="preserve">; </w:t>
      </w:r>
      <w:r w:rsidRPr="00806709">
        <w:rPr>
          <w:rFonts w:ascii="Times New Roman" w:hAnsi="Times New Roman" w:cs="Times New Roman"/>
          <w:i/>
          <w:iCs/>
        </w:rPr>
        <w:t>Hepacivirus</w:t>
      </w:r>
      <w:r w:rsidR="003B44AE" w:rsidRPr="00806709">
        <w:rPr>
          <w:rFonts w:ascii="Times New Roman" w:hAnsi="Times New Roman" w:cs="Times New Roman"/>
        </w:rPr>
        <w:t>: 2,358</w:t>
      </w:r>
      <w:r w:rsidRPr="00806709">
        <w:rPr>
          <w:rFonts w:ascii="Times New Roman" w:hAnsi="Times New Roman" w:cs="Times New Roman"/>
        </w:rPr>
        <w:t xml:space="preserve">; </w:t>
      </w:r>
      <w:r w:rsidRPr="00806709">
        <w:rPr>
          <w:rFonts w:ascii="Times New Roman" w:hAnsi="Times New Roman" w:cs="Times New Roman"/>
          <w:i/>
          <w:iCs/>
        </w:rPr>
        <w:t>Pestivirus</w:t>
      </w:r>
      <w:r w:rsidR="003B44AE" w:rsidRPr="00806709">
        <w:rPr>
          <w:rFonts w:ascii="Times New Roman" w:hAnsi="Times New Roman" w:cs="Times New Roman"/>
        </w:rPr>
        <w:t>: 665</w:t>
      </w:r>
      <w:r w:rsidRPr="00806709">
        <w:rPr>
          <w:rFonts w:ascii="Times New Roman" w:hAnsi="Times New Roman" w:cs="Times New Roman"/>
        </w:rPr>
        <w:t xml:space="preserve">; </w:t>
      </w:r>
      <w:r w:rsidRPr="00806709">
        <w:rPr>
          <w:rFonts w:ascii="Times New Roman" w:hAnsi="Times New Roman" w:cs="Times New Roman"/>
          <w:i/>
          <w:iCs/>
        </w:rPr>
        <w:t>Pegivirus</w:t>
      </w:r>
      <w:r w:rsidR="003B44AE" w:rsidRPr="00806709">
        <w:rPr>
          <w:rFonts w:ascii="Times New Roman" w:hAnsi="Times New Roman" w:cs="Times New Roman"/>
        </w:rPr>
        <w:t>: 194</w:t>
      </w:r>
      <w:r w:rsidRPr="00806709">
        <w:rPr>
          <w:rFonts w:ascii="Times New Roman" w:hAnsi="Times New Roman" w:cs="Times New Roman"/>
        </w:rPr>
        <w:t>).</w:t>
      </w:r>
      <w:bookmarkStart w:id="5" w:name="genbank-record-parsing"/>
      <w:bookmarkEnd w:id="4"/>
      <w:r w:rsidR="00B86A86" w:rsidRPr="00806709">
        <w:rPr>
          <w:rFonts w:ascii="Times New Roman" w:hAnsi="Times New Roman" w:cs="Times New Roman"/>
        </w:rPr>
        <w:t xml:space="preserve"> </w:t>
      </w:r>
      <w:r w:rsidRPr="00806709">
        <w:rPr>
          <w:rFonts w:ascii="Times New Roman" w:hAnsi="Times New Roman" w:cs="Times New Roman"/>
        </w:rPr>
        <w:t>GenBank flat files were parsed using Biopython (version 1.81) (36) to extract genome length, organism name, taxonomy string, host field, geographic origin, collection date, and coding sequence (CDS) annotations.</w:t>
      </w:r>
      <w:bookmarkStart w:id="6" w:name="taxonomy-validation"/>
      <w:bookmarkEnd w:id="5"/>
      <w:r w:rsidR="00B86A86" w:rsidRPr="00806709">
        <w:rPr>
          <w:rFonts w:ascii="Times New Roman" w:hAnsi="Times New Roman" w:cs="Times New Roman"/>
        </w:rPr>
        <w:t xml:space="preserve"> </w:t>
      </w:r>
      <w:r w:rsidR="00B86A86" w:rsidRPr="00806709">
        <w:rPr>
          <w:rFonts w:ascii="Times New Roman" w:hAnsi="Times New Roman" w:cs="Times New Roman"/>
        </w:rPr>
        <w:t>To ensure data integrity</w:t>
      </w:r>
      <w:r w:rsidR="00B86A86" w:rsidRPr="00806709">
        <w:rPr>
          <w:rFonts w:ascii="Times New Roman" w:hAnsi="Times New Roman" w:cs="Times New Roman"/>
        </w:rPr>
        <w:t>, g</w:t>
      </w:r>
      <w:r w:rsidRPr="00806709">
        <w:rPr>
          <w:rFonts w:ascii="Times New Roman" w:hAnsi="Times New Roman" w:cs="Times New Roman"/>
        </w:rPr>
        <w:t xml:space="preserve">enus assignments were validated by comparing query genus against taxonomy-derived genus. Discordant records were corrected. Final distribution: </w:t>
      </w:r>
      <w:r w:rsidRPr="00806709">
        <w:rPr>
          <w:rFonts w:ascii="Times New Roman" w:hAnsi="Times New Roman" w:cs="Times New Roman"/>
          <w:i/>
          <w:iCs/>
        </w:rPr>
        <w:t>Hepacivirus</w:t>
      </w:r>
      <w:r w:rsidRPr="00806709">
        <w:rPr>
          <w:rFonts w:ascii="Times New Roman" w:hAnsi="Times New Roman" w:cs="Times New Roman"/>
        </w:rPr>
        <w:t xml:space="preserve"> (2,355), </w:t>
      </w:r>
      <w:r w:rsidRPr="00806709">
        <w:rPr>
          <w:rFonts w:ascii="Times New Roman" w:hAnsi="Times New Roman" w:cs="Times New Roman"/>
          <w:i/>
          <w:iCs/>
        </w:rPr>
        <w:t>Flavivirus</w:t>
      </w:r>
      <w:r w:rsidRPr="00806709">
        <w:rPr>
          <w:rFonts w:ascii="Times New Roman" w:hAnsi="Times New Roman" w:cs="Times New Roman"/>
        </w:rPr>
        <w:t xml:space="preserve"> (1,400), </w:t>
      </w:r>
      <w:r w:rsidRPr="00806709">
        <w:rPr>
          <w:rFonts w:ascii="Times New Roman" w:hAnsi="Times New Roman" w:cs="Times New Roman"/>
          <w:i/>
          <w:iCs/>
        </w:rPr>
        <w:t>Pestivirus</w:t>
      </w:r>
      <w:r w:rsidRPr="00806709">
        <w:rPr>
          <w:rFonts w:ascii="Times New Roman" w:hAnsi="Times New Roman" w:cs="Times New Roman"/>
        </w:rPr>
        <w:t xml:space="preserve"> (664), </w:t>
      </w:r>
      <w:r w:rsidRPr="00806709">
        <w:rPr>
          <w:rFonts w:ascii="Times New Roman" w:hAnsi="Times New Roman" w:cs="Times New Roman"/>
          <w:i/>
          <w:iCs/>
        </w:rPr>
        <w:t>Pegivirus</w:t>
      </w:r>
      <w:r w:rsidRPr="00806709">
        <w:rPr>
          <w:rFonts w:ascii="Times New Roman" w:hAnsi="Times New Roman" w:cs="Times New Roman"/>
        </w:rPr>
        <w:t xml:space="preserve"> (194).</w:t>
      </w:r>
    </w:p>
    <w:p w:rsidR="00EC1AEE" w:rsidRPr="00806709" w:rsidRDefault="0006590F" w:rsidP="00806709">
      <w:pPr>
        <w:pStyle w:val="Heading3"/>
        <w:spacing w:before="0" w:after="140" w:line="480" w:lineRule="auto"/>
        <w:rPr>
          <w:rFonts w:ascii="Times New Roman" w:hAnsi="Times New Roman" w:cs="Times New Roman"/>
        </w:rPr>
      </w:pPr>
      <w:bookmarkStart w:id="7" w:name="host-range-labeling"/>
      <w:bookmarkEnd w:id="6"/>
      <w:r w:rsidRPr="00806709">
        <w:rPr>
          <w:rFonts w:ascii="Times New Roman" w:hAnsi="Times New Roman" w:cs="Times New Roman"/>
        </w:rPr>
        <w:t>Host range labeling and dataset curation</w:t>
      </w:r>
    </w:p>
    <w:p w:rsidR="001E5551" w:rsidRPr="00806709" w:rsidRDefault="00B406D8" w:rsidP="004A1DFF">
      <w:pPr>
        <w:pStyle w:val="FirstParagraph"/>
        <w:spacing w:before="0" w:after="140" w:line="480" w:lineRule="auto"/>
        <w:rPr>
          <w:rFonts w:ascii="Times New Roman" w:hAnsi="Times New Roman" w:cs="Times New Roman"/>
        </w:rPr>
      </w:pPr>
      <w:r w:rsidRPr="00806709">
        <w:rPr>
          <w:rFonts w:ascii="Times New Roman" w:hAnsi="Times New Roman" w:cs="Times New Roman"/>
        </w:rPr>
        <w:t>We implemented a species-level audit system with host range labels assigned based on systematic literature review (8, 9, 37). Each species entry contained inclusion status, host range class (dual-host or invertebrate-only), evidence type, citation, and rationale. Genome-level labels were populated by mapping canonicalized species identifiers to the audit table.</w:t>
      </w:r>
      <w:bookmarkStart w:id="8" w:name="quality-control"/>
      <w:bookmarkEnd w:id="7"/>
      <w:r w:rsidR="0006590F" w:rsidRPr="00806709">
        <w:rPr>
          <w:rFonts w:ascii="Times New Roman" w:hAnsi="Times New Roman" w:cs="Times New Roman"/>
        </w:rPr>
        <w:t xml:space="preserve"> E</w:t>
      </w:r>
      <w:r w:rsidRPr="00806709">
        <w:rPr>
          <w:rFonts w:ascii="Times New Roman" w:hAnsi="Times New Roman" w:cs="Times New Roman"/>
        </w:rPr>
        <w:t>xclusion criteria included: non-</w:t>
      </w:r>
      <w:r w:rsidRPr="00806709">
        <w:rPr>
          <w:rFonts w:ascii="Times New Roman" w:hAnsi="Times New Roman" w:cs="Times New Roman"/>
          <w:i/>
          <w:iCs/>
        </w:rPr>
        <w:t>Flaviviridae</w:t>
      </w:r>
      <w:r w:rsidRPr="00806709">
        <w:rPr>
          <w:rFonts w:ascii="Times New Roman" w:hAnsi="Times New Roman" w:cs="Times New Roman"/>
        </w:rPr>
        <w:t xml:space="preserve"> records, segmented genomes, unverified sequences, atypical genome lengths, and gene-only records.</w:t>
      </w:r>
      <w:bookmarkStart w:id="9" w:name="isfv-expansion"/>
      <w:bookmarkEnd w:id="8"/>
      <w:r w:rsidR="0006590F" w:rsidRPr="00806709">
        <w:rPr>
          <w:rFonts w:ascii="Times New Roman" w:hAnsi="Times New Roman" w:cs="Times New Roman"/>
        </w:rPr>
        <w:t xml:space="preserve"> </w:t>
      </w:r>
      <w:r w:rsidR="0006590F" w:rsidRPr="00806709">
        <w:rPr>
          <w:rFonts w:ascii="Times New Roman" w:hAnsi="Times New Roman" w:cs="Times New Roman"/>
        </w:rPr>
        <w:t>To ensure robust representation of invertebrate-only viruses,</w:t>
      </w:r>
      <w:r w:rsidR="0006590F" w:rsidRPr="00806709">
        <w:rPr>
          <w:rFonts w:ascii="Times New Roman" w:hAnsi="Times New Roman" w:cs="Times New Roman"/>
        </w:rPr>
        <w:t xml:space="preserve"> k</w:t>
      </w:r>
      <w:r w:rsidRPr="00806709">
        <w:rPr>
          <w:rFonts w:ascii="Times New Roman" w:hAnsi="Times New Roman" w:cs="Times New Roman"/>
        </w:rPr>
        <w:t>eyword searches targeting ISFVs (“insect-specific flavivirus,” “cell fusing agent virus,” “Culex flavivirus,” “Quang Binh virus”)</w:t>
      </w:r>
      <w:r w:rsidR="0006590F" w:rsidRPr="00806709">
        <w:rPr>
          <w:rFonts w:ascii="Times New Roman" w:hAnsi="Times New Roman" w:cs="Times New Roman"/>
        </w:rPr>
        <w:t xml:space="preserve"> were used to expand the dataset</w:t>
      </w:r>
      <w:r w:rsidRPr="00806709">
        <w:rPr>
          <w:rFonts w:ascii="Times New Roman" w:hAnsi="Times New Roman" w:cs="Times New Roman"/>
        </w:rPr>
        <w:t>.</w:t>
      </w:r>
      <w:bookmarkStart w:id="10" w:name="final-dataset"/>
      <w:bookmarkEnd w:id="9"/>
      <w:r w:rsidR="0006590F" w:rsidRPr="00806709">
        <w:rPr>
          <w:rFonts w:ascii="Times New Roman" w:hAnsi="Times New Roman" w:cs="Times New Roman"/>
        </w:rPr>
        <w:t xml:space="preserve"> </w:t>
      </w:r>
      <w:r w:rsidR="00D90D74" w:rsidRPr="00806709">
        <w:rPr>
          <w:rFonts w:ascii="Times New Roman" w:hAnsi="Times New Roman" w:cs="Times New Roman"/>
        </w:rPr>
        <w:t>T</w:t>
      </w:r>
      <w:r w:rsidRPr="00806709">
        <w:rPr>
          <w:rFonts w:ascii="Times New Roman" w:hAnsi="Times New Roman" w:cs="Times New Roman"/>
        </w:rPr>
        <w:t>he</w:t>
      </w:r>
      <w:r w:rsidR="00D90D74" w:rsidRPr="00806709">
        <w:rPr>
          <w:rFonts w:ascii="Times New Roman" w:hAnsi="Times New Roman" w:cs="Times New Roman"/>
        </w:rPr>
        <w:t xml:space="preserve"> final</w:t>
      </w:r>
      <w:r w:rsidRPr="00806709">
        <w:rPr>
          <w:rFonts w:ascii="Times New Roman" w:hAnsi="Times New Roman" w:cs="Times New Roman"/>
        </w:rPr>
        <w:t xml:space="preserve"> </w:t>
      </w:r>
      <w:r w:rsidRPr="00806709">
        <w:rPr>
          <w:rFonts w:ascii="Times New Roman" w:hAnsi="Times New Roman" w:cs="Times New Roman"/>
          <w:i/>
          <w:iCs/>
        </w:rPr>
        <w:t>Flavivirus</w:t>
      </w:r>
      <w:r w:rsidRPr="00806709">
        <w:rPr>
          <w:rFonts w:ascii="Times New Roman" w:hAnsi="Times New Roman" w:cs="Times New Roman"/>
        </w:rPr>
        <w:t>-only, two-class dataset comprised 1,285 genomes from 53 species: 1,178 dual-host genomes from 29 species and 107 ISFV genomes from 24 species.</w:t>
      </w:r>
      <w:bookmarkStart w:id="11" w:name="species-stratified-partitioning"/>
      <w:bookmarkEnd w:id="10"/>
    </w:p>
    <w:p w:rsidR="00EC1AEE" w:rsidRPr="00806709" w:rsidRDefault="00D90D74" w:rsidP="00806709">
      <w:pPr>
        <w:pStyle w:val="Heading3"/>
        <w:spacing w:before="0" w:after="140" w:line="480" w:lineRule="auto"/>
        <w:rPr>
          <w:rFonts w:ascii="Times New Roman" w:hAnsi="Times New Roman" w:cs="Times New Roman"/>
        </w:rPr>
      </w:pPr>
      <w:bookmarkStart w:id="12" w:name="feature-extraction"/>
      <w:bookmarkEnd w:id="11"/>
      <w:r w:rsidRPr="00806709">
        <w:rPr>
          <w:rFonts w:ascii="Times New Roman" w:hAnsi="Times New Roman" w:cs="Times New Roman"/>
        </w:rPr>
        <w:lastRenderedPageBreak/>
        <w:t>Feature extraction and statistical analysis</w:t>
      </w:r>
    </w:p>
    <w:p w:rsidR="00EC1AEE" w:rsidRPr="00806709" w:rsidRDefault="00B406D8" w:rsidP="00806709">
      <w:pPr>
        <w:pStyle w:val="FirstParagraph"/>
        <w:spacing w:before="0" w:after="140" w:line="480" w:lineRule="auto"/>
        <w:rPr>
          <w:rFonts w:ascii="Times New Roman" w:hAnsi="Times New Roman" w:cs="Times New Roman"/>
        </w:rPr>
      </w:pPr>
      <w:r w:rsidRPr="00806709">
        <w:rPr>
          <w:rFonts w:ascii="Times New Roman" w:hAnsi="Times New Roman" w:cs="Times New Roman"/>
        </w:rPr>
        <w:t>Three feature categories were computed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97</m:t>
        </m:r>
      </m:oMath>
      <w:r w:rsidRPr="00806709">
        <w:rPr>
          <w:rFonts w:ascii="Times New Roman" w:hAnsi="Times New Roman" w:cs="Times New Roman"/>
        </w:rPr>
        <w:t xml:space="preserve"> total):</w:t>
      </w:r>
    </w:p>
    <w:p w:rsidR="00EC1AEE" w:rsidRPr="00806709" w:rsidRDefault="00B406D8" w:rsidP="00806709">
      <w:pPr>
        <w:pStyle w:val="BodyText"/>
        <w:spacing w:before="0" w:after="140" w:line="480" w:lineRule="auto"/>
        <w:rPr>
          <w:rFonts w:ascii="Times New Roman" w:hAnsi="Times New Roman" w:cs="Times New Roman"/>
        </w:rPr>
      </w:pPr>
      <w:r w:rsidRPr="00806709">
        <w:rPr>
          <w:rFonts w:ascii="Times New Roman" w:hAnsi="Times New Roman" w:cs="Times New Roman"/>
          <w:b/>
          <w:bCs/>
        </w:rPr>
        <w:t>Compositional features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2</m:t>
        </m:r>
      </m:oMath>
      <w:r w:rsidRPr="00806709">
        <w:rPr>
          <w:rFonts w:ascii="Times New Roman" w:hAnsi="Times New Roman" w:cs="Times New Roman"/>
          <w:b/>
          <w:bCs/>
        </w:rPr>
        <w:t>).</w:t>
      </w:r>
      <w:r w:rsidRPr="00806709">
        <w:rPr>
          <w:rFonts w:ascii="Times New Roman" w:hAnsi="Times New Roman" w:cs="Times New Roman"/>
        </w:rPr>
        <w:t xml:space="preserve"> Genome length (nucleotides) and GC content (%).</w:t>
      </w:r>
    </w:p>
    <w:p w:rsidR="00EC1AEE" w:rsidRPr="00806709" w:rsidRDefault="00B406D8" w:rsidP="00806709">
      <w:pPr>
        <w:pStyle w:val="BodyText"/>
        <w:spacing w:before="0" w:after="140" w:line="480" w:lineRule="auto"/>
        <w:rPr>
          <w:rFonts w:ascii="Times New Roman" w:hAnsi="Times New Roman" w:cs="Times New Roman"/>
        </w:rPr>
      </w:pPr>
      <w:r w:rsidRPr="00806709">
        <w:rPr>
          <w:rFonts w:ascii="Times New Roman" w:hAnsi="Times New Roman" w:cs="Times New Roman"/>
          <w:b/>
          <w:bCs/>
        </w:rPr>
        <w:t>Dinucleotide features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34</m:t>
        </m:r>
      </m:oMath>
      <w:r w:rsidRPr="00806709">
        <w:rPr>
          <w:rFonts w:ascii="Times New Roman" w:hAnsi="Times New Roman" w:cs="Times New Roman"/>
          <w:b/>
          <w:bCs/>
        </w:rPr>
        <w:t>).</w:t>
      </w:r>
      <w:r w:rsidRPr="00806709">
        <w:rPr>
          <w:rFonts w:ascii="Times New Roman" w:hAnsi="Times New Roman" w:cs="Times New Roman"/>
        </w:rPr>
        <w:t xml:space="preserve"> Sixteen dinucleotide frequencies and 18 observed/expected (O/E) ratios calculated as:</w:t>
      </w:r>
    </w:p>
    <w:p w:rsidR="00EC1AEE" w:rsidRPr="00806709" w:rsidRDefault="00A32DF8" w:rsidP="00806709">
      <w:pPr>
        <w:pStyle w:val="BodyText"/>
        <w:spacing w:before="0" w:after="14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O/E</m:t>
              </m:r>
            </m:e>
            <m:sub>
              <m:r>
                <w:rPr>
                  <w:rFonts w:ascii="Cambria Math" w:hAnsi="Cambria Math" w:cs="Times New Roman"/>
                </w:rPr>
                <m:t>XY</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XY</m:t>
                  </m:r>
                </m:sub>
              </m:sSub>
            </m:num>
            <m:den>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X</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Y</m:t>
                  </m:r>
                </m:sub>
              </m:sSub>
            </m:den>
          </m:f>
        </m:oMath>
      </m:oMathPara>
    </w:p>
    <w:p w:rsidR="00EC1AEE" w:rsidRPr="00806709" w:rsidRDefault="00B406D8" w:rsidP="00806709">
      <w:pPr>
        <w:pStyle w:val="FirstParagraph"/>
        <w:spacing w:before="0" w:after="140" w:line="480" w:lineRule="auto"/>
        <w:rPr>
          <w:rFonts w:ascii="Times New Roman" w:hAnsi="Times New Roman" w:cs="Times New Roman"/>
        </w:rPr>
      </w:pPr>
      <w:r w:rsidRPr="0080670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XY</m:t>
            </m:r>
          </m:sub>
        </m:sSub>
      </m:oMath>
      <w:r w:rsidRPr="00806709">
        <w:rPr>
          <w:rFonts w:ascii="Times New Roman" w:hAnsi="Times New Roman" w:cs="Times New Roman"/>
        </w:rPr>
        <w:t xml:space="preserve"> is dinucleotide frequency and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X</m:t>
            </m:r>
          </m:sub>
        </m:sSub>
      </m:oMath>
      <w:r w:rsidRPr="0080670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Y</m:t>
            </m:r>
          </m:sub>
        </m:sSub>
      </m:oMath>
      <w:r w:rsidRPr="00806709">
        <w:rPr>
          <w:rFonts w:ascii="Times New Roman" w:hAnsi="Times New Roman" w:cs="Times New Roman"/>
        </w:rPr>
        <w:t xml:space="preserve"> are mononucleotide frequencies (39).</w:t>
      </w:r>
    </w:p>
    <w:p w:rsidR="00EC1AEE" w:rsidRPr="00806709" w:rsidRDefault="00B406D8" w:rsidP="00806709">
      <w:pPr>
        <w:pStyle w:val="BodyText"/>
        <w:spacing w:before="0" w:after="140" w:line="480" w:lineRule="auto"/>
        <w:rPr>
          <w:rFonts w:ascii="Times New Roman" w:hAnsi="Times New Roman" w:cs="Times New Roman"/>
        </w:rPr>
      </w:pPr>
      <w:r w:rsidRPr="00806709">
        <w:rPr>
          <w:rFonts w:ascii="Times New Roman" w:hAnsi="Times New Roman" w:cs="Times New Roman"/>
          <w:bCs/>
        </w:rPr>
        <w:t>Codon usage features</w:t>
      </w:r>
      <w:r w:rsidRPr="00806709">
        <w:rPr>
          <w:rFonts w:ascii="Times New Roman" w:hAnsi="Times New Roman" w:cs="Times New Roman"/>
          <w:b/>
          <w:bCs/>
        </w:rPr>
        <w:t xml:space="preserve">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61</m:t>
        </m:r>
      </m:oMath>
      <w:r w:rsidRPr="00806709">
        <w:rPr>
          <w:rFonts w:ascii="Times New Roman" w:hAnsi="Times New Roman" w:cs="Times New Roman"/>
          <w:b/>
          <w:bCs/>
        </w:rPr>
        <w:t>).</w:t>
      </w:r>
      <w:r w:rsidRPr="00806709">
        <w:rPr>
          <w:rFonts w:ascii="Times New Roman" w:hAnsi="Times New Roman" w:cs="Times New Roman"/>
        </w:rPr>
        <w:t xml:space="preserve"> RSCU values from concatenated CDS (31):</w:t>
      </w:r>
    </w:p>
    <w:p w:rsidR="00EC1AEE" w:rsidRPr="00806709" w:rsidRDefault="00A32DF8" w:rsidP="00806709">
      <w:pPr>
        <w:pStyle w:val="BodyText"/>
        <w:spacing w:before="0" w:after="14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RSCU</m:t>
              </m:r>
            </m:e>
            <m:sub>
              <m: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num>
            <m:den>
              <m:f>
                <m:fPr>
                  <m:ctrlPr>
                    <w:rPr>
                      <w:rFonts w:ascii="Cambria Math" w:hAnsi="Cambria Math" w:cs="Times New Roman"/>
                    </w:rPr>
                  </m:ctrlPr>
                </m:fPr>
                <m:num>
                  <m: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den>
              </m:f>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1</m:t>
                  </m:r>
                </m:sub>
                <m:sup>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sup>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j</m:t>
                      </m:r>
                    </m:sub>
                  </m:sSub>
                </m:e>
              </m:nary>
            </m:den>
          </m:f>
        </m:oMath>
      </m:oMathPara>
    </w:p>
    <w:p w:rsidR="00EC1AEE" w:rsidRPr="00806709" w:rsidRDefault="00B406D8" w:rsidP="00806709">
      <w:pPr>
        <w:pStyle w:val="FirstParagraph"/>
        <w:spacing w:before="0" w:after="140" w:line="480" w:lineRule="auto"/>
        <w:rPr>
          <w:rFonts w:ascii="Times New Roman" w:hAnsi="Times New Roman" w:cs="Times New Roman"/>
        </w:rPr>
      </w:pPr>
      <w:r w:rsidRPr="0080670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806709">
        <w:rPr>
          <w:rFonts w:ascii="Times New Roman" w:hAnsi="Times New Roman" w:cs="Times New Roman"/>
        </w:rPr>
        <w:t xml:space="preserve"> is observed codon count and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oMath>
      <w:r w:rsidRPr="00806709">
        <w:rPr>
          <w:rFonts w:ascii="Times New Roman" w:hAnsi="Times New Roman" w:cs="Times New Roman"/>
        </w:rPr>
        <w:t xml:space="preserve"> is the number of synonymous codons.</w:t>
      </w:r>
    </w:p>
    <w:p w:rsidR="00D90D74" w:rsidRPr="00806709" w:rsidRDefault="001E5551" w:rsidP="00806709">
      <w:pPr>
        <w:pStyle w:val="FirstParagraph"/>
        <w:spacing w:before="0" w:after="140" w:line="480" w:lineRule="auto"/>
        <w:rPr>
          <w:rFonts w:ascii="Times New Roman" w:hAnsi="Times New Roman" w:cs="Times New Roman"/>
        </w:rPr>
      </w:pPr>
      <w:r w:rsidRPr="00806709">
        <w:rPr>
          <w:rFonts w:ascii="Times New Roman" w:hAnsi="Times New Roman" w:cs="Times New Roman"/>
        </w:rPr>
        <w:t>To visualize high-dimensional feature spaces and reduce redundancy, Principal Component Analysis (PCA) was performed on standardized RSCU features using scikit-learn (40).</w:t>
      </w:r>
      <w:r w:rsidRPr="00806709">
        <w:rPr>
          <w:rFonts w:ascii="Times New Roman" w:hAnsi="Times New Roman" w:cs="Times New Roman"/>
        </w:rPr>
        <w:t xml:space="preserve"> </w:t>
      </w:r>
      <w:r w:rsidR="00D90D74" w:rsidRPr="00806709">
        <w:rPr>
          <w:rFonts w:ascii="Times New Roman" w:hAnsi="Times New Roman" w:cs="Times New Roman"/>
        </w:rPr>
        <w:t xml:space="preserve">Group differences were assessed using Mann-Whitney </w:t>
      </w:r>
      <m:oMath>
        <m:r>
          <w:rPr>
            <w:rFonts w:ascii="Cambria Math" w:hAnsi="Cambria Math" w:cs="Times New Roman"/>
          </w:rPr>
          <m:t>U</m:t>
        </m:r>
      </m:oMath>
      <w:r w:rsidR="00D90D74" w:rsidRPr="00806709">
        <w:rPr>
          <w:rFonts w:ascii="Times New Roman" w:hAnsi="Times New Roman" w:cs="Times New Roman"/>
        </w:rPr>
        <w:t xml:space="preserve"> tests (41). Effect sizes were quantified using Cohen’s </w:t>
      </w:r>
      <m:oMath>
        <m:r>
          <w:rPr>
            <w:rFonts w:ascii="Cambria Math" w:hAnsi="Cambria Math" w:cs="Times New Roman"/>
          </w:rPr>
          <m:t>d</m:t>
        </m:r>
      </m:oMath>
      <w:r w:rsidR="00D90D74" w:rsidRPr="00806709">
        <w:rPr>
          <w:rFonts w:ascii="Times New Roman" w:hAnsi="Times New Roman" w:cs="Times New Roman"/>
        </w:rPr>
        <w:t xml:space="preserve"> (42), interpreted as negligible (</w:t>
      </w:r>
      <m:oMath>
        <m:d>
          <m:dPr>
            <m:begChr m:val="|"/>
            <m:endChr m:val="|"/>
            <m:ctrlPr>
              <w:rPr>
                <w:rFonts w:ascii="Cambria Math" w:hAnsi="Cambria Math" w:cs="Times New Roman"/>
              </w:rPr>
            </m:ctrlPr>
          </m:dPr>
          <m:e>
            <m:r>
              <w:rPr>
                <w:rFonts w:ascii="Cambria Math" w:hAnsi="Cambria Math" w:cs="Times New Roman"/>
              </w:rPr>
              <m:t>d</m:t>
            </m:r>
          </m:e>
        </m:d>
        <m:r>
          <m:rPr>
            <m:sty m:val="p"/>
          </m:rPr>
          <w:rPr>
            <w:rFonts w:ascii="Cambria Math" w:hAnsi="Cambria Math" w:cs="Times New Roman"/>
          </w:rPr>
          <m:t>&lt;</m:t>
        </m:r>
        <m:r>
          <w:rPr>
            <w:rFonts w:ascii="Cambria Math" w:hAnsi="Cambria Math" w:cs="Times New Roman"/>
          </w:rPr>
          <m:t>0.2</m:t>
        </m:r>
      </m:oMath>
      <w:r w:rsidR="00D90D74" w:rsidRPr="00806709">
        <w:rPr>
          <w:rFonts w:ascii="Times New Roman" w:hAnsi="Times New Roman" w:cs="Times New Roman"/>
        </w:rPr>
        <w:t>), small (</w:t>
      </w:r>
      <m:oMath>
        <m:r>
          <w:rPr>
            <w:rFonts w:ascii="Cambria Math" w:hAnsi="Cambria Math" w:cs="Times New Roman"/>
          </w:rPr>
          <m:t>0.2</m:t>
        </m:r>
        <m:r>
          <m:rPr>
            <m:sty m:val="p"/>
          </m:rP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d</m:t>
            </m:r>
          </m:e>
        </m:d>
        <m:r>
          <m:rPr>
            <m:sty m:val="p"/>
          </m:rPr>
          <w:rPr>
            <w:rFonts w:ascii="Cambria Math" w:hAnsi="Cambria Math" w:cs="Times New Roman"/>
          </w:rPr>
          <m:t>&lt;</m:t>
        </m:r>
        <m:r>
          <w:rPr>
            <w:rFonts w:ascii="Cambria Math" w:hAnsi="Cambria Math" w:cs="Times New Roman"/>
          </w:rPr>
          <m:t>0.5</m:t>
        </m:r>
      </m:oMath>
      <w:r w:rsidR="00D90D74" w:rsidRPr="00806709">
        <w:rPr>
          <w:rFonts w:ascii="Times New Roman" w:hAnsi="Times New Roman" w:cs="Times New Roman"/>
        </w:rPr>
        <w:t>), medium (</w:t>
      </w:r>
      <m:oMath>
        <m:r>
          <w:rPr>
            <w:rFonts w:ascii="Cambria Math" w:hAnsi="Cambria Math" w:cs="Times New Roman"/>
          </w:rPr>
          <m:t>0.5</m:t>
        </m:r>
        <m:r>
          <m:rPr>
            <m:sty m:val="p"/>
          </m:rP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d</m:t>
            </m:r>
          </m:e>
        </m:d>
        <m:r>
          <m:rPr>
            <m:sty m:val="p"/>
          </m:rPr>
          <w:rPr>
            <w:rFonts w:ascii="Cambria Math" w:hAnsi="Cambria Math" w:cs="Times New Roman"/>
          </w:rPr>
          <m:t>&lt;</m:t>
        </m:r>
        <m:r>
          <w:rPr>
            <w:rFonts w:ascii="Cambria Math" w:hAnsi="Cambria Math" w:cs="Times New Roman"/>
          </w:rPr>
          <m:t>0.8</m:t>
        </m:r>
      </m:oMath>
      <w:r w:rsidR="00D90D74" w:rsidRPr="00806709">
        <w:rPr>
          <w:rFonts w:ascii="Times New Roman" w:hAnsi="Times New Roman" w:cs="Times New Roman"/>
        </w:rPr>
        <w:t>), or large (</w:t>
      </w:r>
      <m:oMath>
        <m:d>
          <m:dPr>
            <m:begChr m:val="|"/>
            <m:endChr m:val="|"/>
            <m:ctrlPr>
              <w:rPr>
                <w:rFonts w:ascii="Cambria Math" w:hAnsi="Cambria Math" w:cs="Times New Roman"/>
              </w:rPr>
            </m:ctrlPr>
          </m:dPr>
          <m:e>
            <m:r>
              <w:rPr>
                <w:rFonts w:ascii="Cambria Math" w:hAnsi="Cambria Math" w:cs="Times New Roman"/>
              </w:rPr>
              <m:t>d</m:t>
            </m:r>
          </m:e>
        </m:d>
        <m:r>
          <m:rPr>
            <m:sty m:val="p"/>
          </m:rPr>
          <w:rPr>
            <w:rFonts w:ascii="Cambria Math" w:hAnsi="Cambria Math" w:cs="Times New Roman"/>
          </w:rPr>
          <m:t>≥</m:t>
        </m:r>
        <m:r>
          <w:rPr>
            <w:rFonts w:ascii="Cambria Math" w:hAnsi="Cambria Math" w:cs="Times New Roman"/>
          </w:rPr>
          <m:t>0.8</m:t>
        </m:r>
      </m:oMath>
      <w:r w:rsidR="00D90D74" w:rsidRPr="00806709">
        <w:rPr>
          <w:rFonts w:ascii="Times New Roman" w:hAnsi="Times New Roman" w:cs="Times New Roman"/>
        </w:rPr>
        <w:t xml:space="preserve">) (43). Significance threshold: </w:t>
      </w:r>
      <m:oMath>
        <m:r>
          <w:rPr>
            <w:rFonts w:ascii="Cambria Math" w:hAnsi="Cambria Math" w:cs="Times New Roman"/>
          </w:rPr>
          <m:t>α</m:t>
        </m:r>
        <m:r>
          <m:rPr>
            <m:sty m:val="p"/>
          </m:rPr>
          <w:rPr>
            <w:rFonts w:ascii="Cambria Math" w:hAnsi="Cambria Math" w:cs="Times New Roman"/>
          </w:rPr>
          <m:t>=</m:t>
        </m:r>
        <m:r>
          <w:rPr>
            <w:rFonts w:ascii="Cambria Math" w:hAnsi="Cambria Math" w:cs="Times New Roman"/>
          </w:rPr>
          <m:t>0.05</m:t>
        </m:r>
      </m:oMath>
      <w:r w:rsidR="00D90D74" w:rsidRPr="00806709">
        <w:rPr>
          <w:rFonts w:ascii="Times New Roman" w:hAnsi="Times New Roman" w:cs="Times New Roman"/>
        </w:rPr>
        <w:t>.</w:t>
      </w:r>
    </w:p>
    <w:p w:rsidR="001E5551" w:rsidRPr="00806709" w:rsidRDefault="001E5551" w:rsidP="00806709">
      <w:pPr>
        <w:pStyle w:val="Heading3"/>
        <w:spacing w:before="0" w:after="140" w:line="480" w:lineRule="auto"/>
        <w:rPr>
          <w:rFonts w:ascii="Times New Roman" w:hAnsi="Times New Roman" w:cs="Times New Roman"/>
        </w:rPr>
      </w:pPr>
      <w:bookmarkStart w:id="13" w:name="classification-models"/>
      <w:bookmarkEnd w:id="12"/>
    </w:p>
    <w:p w:rsidR="001E5551" w:rsidRPr="00806709" w:rsidRDefault="001E5551" w:rsidP="00806709">
      <w:pPr>
        <w:pStyle w:val="BodyText"/>
        <w:spacing w:before="0" w:after="140" w:line="480" w:lineRule="auto"/>
        <w:rPr>
          <w:rFonts w:ascii="Times New Roman" w:hAnsi="Times New Roman" w:cs="Times New Roman"/>
        </w:rPr>
      </w:pPr>
    </w:p>
    <w:p w:rsidR="001E5551" w:rsidRPr="00806709" w:rsidRDefault="001E5551" w:rsidP="00806709">
      <w:pPr>
        <w:pStyle w:val="Heading3"/>
        <w:spacing w:before="0" w:after="140" w:line="480" w:lineRule="auto"/>
        <w:rPr>
          <w:rFonts w:ascii="Times New Roman" w:hAnsi="Times New Roman" w:cs="Times New Roman"/>
        </w:rPr>
      </w:pPr>
      <w:r w:rsidRPr="00806709">
        <w:rPr>
          <w:rFonts w:ascii="Times New Roman" w:hAnsi="Times New Roman" w:cs="Times New Roman"/>
        </w:rPr>
        <w:lastRenderedPageBreak/>
        <w:t>Machine learning framework and model evaluation</w:t>
      </w:r>
    </w:p>
    <w:p w:rsidR="001E5551" w:rsidRPr="00806709" w:rsidRDefault="001E5551" w:rsidP="00806709">
      <w:pPr>
        <w:pStyle w:val="NormalWeb"/>
        <w:spacing w:before="0" w:beforeAutospacing="0" w:after="140" w:afterAutospacing="0" w:line="480" w:lineRule="auto"/>
      </w:pPr>
      <w:r w:rsidRPr="00806709">
        <w:t xml:space="preserve">Genomes were divided into training, validation, and test sets with no species appearing in multiple partitions. The training set comprised </w:t>
      </w:r>
      <w:r w:rsidRPr="00806709">
        <w:rPr>
          <w:bCs/>
        </w:rPr>
        <w:t>1,148</w:t>
      </w:r>
      <w:r w:rsidRPr="00806709">
        <w:t xml:space="preserve"> genomes from </w:t>
      </w:r>
      <w:r w:rsidRPr="00806709">
        <w:rPr>
          <w:bCs/>
        </w:rPr>
        <w:t>31</w:t>
      </w:r>
      <w:r w:rsidRPr="00806709">
        <w:t xml:space="preserve"> species (</w:t>
      </w:r>
      <w:r w:rsidRPr="00806709">
        <w:rPr>
          <w:bCs/>
        </w:rPr>
        <w:t>1,071</w:t>
      </w:r>
      <w:r w:rsidRPr="00806709">
        <w:t xml:space="preserve"> dual-host from </w:t>
      </w:r>
      <w:r w:rsidRPr="00806709">
        <w:rPr>
          <w:bCs/>
        </w:rPr>
        <w:t>17</w:t>
      </w:r>
      <w:r w:rsidRPr="00806709">
        <w:t xml:space="preserve"> species; </w:t>
      </w:r>
      <w:r w:rsidRPr="00806709">
        <w:rPr>
          <w:bCs/>
        </w:rPr>
        <w:t>77</w:t>
      </w:r>
      <w:r w:rsidRPr="00806709">
        <w:t xml:space="preserve"> ISFV from </w:t>
      </w:r>
      <w:r w:rsidRPr="00806709">
        <w:rPr>
          <w:bCs/>
        </w:rPr>
        <w:t>14</w:t>
      </w:r>
      <w:r w:rsidRPr="00806709">
        <w:t xml:space="preserve"> species). The test set contained </w:t>
      </w:r>
      <w:r w:rsidRPr="00806709">
        <w:rPr>
          <w:bCs/>
        </w:rPr>
        <w:t>120</w:t>
      </w:r>
      <w:r w:rsidRPr="00806709">
        <w:t xml:space="preserve"> genomes from </w:t>
      </w:r>
      <w:r w:rsidRPr="00806709">
        <w:rPr>
          <w:bCs/>
        </w:rPr>
        <w:t>11</w:t>
      </w:r>
      <w:r w:rsidRPr="00806709">
        <w:t xml:space="preserve"> species (</w:t>
      </w:r>
      <w:r w:rsidRPr="00806709">
        <w:rPr>
          <w:bCs/>
        </w:rPr>
        <w:t>103</w:t>
      </w:r>
      <w:r w:rsidRPr="00806709">
        <w:t xml:space="preserve"> dual-host from </w:t>
      </w:r>
      <w:r w:rsidRPr="00806709">
        <w:rPr>
          <w:bCs/>
        </w:rPr>
        <w:t>8</w:t>
      </w:r>
      <w:r w:rsidRPr="00806709">
        <w:t xml:space="preserve"> species; </w:t>
      </w:r>
      <w:r w:rsidRPr="00806709">
        <w:rPr>
          <w:bCs/>
        </w:rPr>
        <w:t>17</w:t>
      </w:r>
      <w:r w:rsidRPr="00806709">
        <w:t xml:space="preserve"> ISFV from </w:t>
      </w:r>
      <w:r w:rsidRPr="00806709">
        <w:rPr>
          <w:bCs/>
        </w:rPr>
        <w:t>3</w:t>
      </w:r>
      <w:r w:rsidRPr="00806709">
        <w:t xml:space="preserve"> species). Features were standardized using training set parameters. We implemented two primary classification models: </w:t>
      </w:r>
      <w:r w:rsidRPr="00806709">
        <w:rPr>
          <w:bCs/>
        </w:rPr>
        <w:t>logistic regression</w:t>
      </w:r>
      <w:r w:rsidRPr="00806709">
        <w:t xml:space="preserve">, utilizing L2-regularized, L-BFGS solver, 1,000 maximum iterations, and balanced class weights; and </w:t>
      </w:r>
      <w:r w:rsidRPr="00806709">
        <w:rPr>
          <w:bCs/>
        </w:rPr>
        <w:t>random forest</w:t>
      </w:r>
      <w:r w:rsidRPr="00806709">
        <w:t>, utilizing 200 trees, maximum depth 10, minimum 5 samples per leaf, and balanced class weights (49).</w:t>
      </w:r>
    </w:p>
    <w:p w:rsidR="001E5551" w:rsidRPr="00806709" w:rsidRDefault="001E5551" w:rsidP="00806709">
      <w:pPr>
        <w:pStyle w:val="NormalWeb"/>
        <w:spacing w:before="0" w:beforeAutospacing="0" w:after="140" w:afterAutospacing="0" w:line="480" w:lineRule="auto"/>
      </w:pPr>
      <w:r w:rsidRPr="00806709">
        <w:t xml:space="preserve">Model performance was assessed using </w:t>
      </w:r>
      <w:r w:rsidRPr="00806709">
        <w:rPr>
          <w:bCs/>
        </w:rPr>
        <w:t>evaluation metrics</w:t>
      </w:r>
      <w:r w:rsidRPr="00806709">
        <w:t xml:space="preserve"> including PR-AUC with ISFV as the positive class (44), ROC-AUC (45), balanced accuracy (46), and Matthews correlation coefficient (MCC) (47). For </w:t>
      </w:r>
      <w:r w:rsidRPr="00806709">
        <w:rPr>
          <w:bCs/>
        </w:rPr>
        <w:t>feature ablation</w:t>
      </w:r>
      <w:r w:rsidRPr="00806709">
        <w:t>, models were trained on four subsets: compositional only (n=2), dinucleot</w:t>
      </w:r>
      <w:r w:rsidR="00BB15B6">
        <w:t>ide only (n=34), RSCU only (n=61), and combined (n=97</w:t>
      </w:r>
      <w:r w:rsidRPr="00806709">
        <w:t xml:space="preserve">). Stability and generalization were evaluated through </w:t>
      </w:r>
      <w:r w:rsidRPr="00806709">
        <w:rPr>
          <w:bCs/>
        </w:rPr>
        <w:t>cross-validation</w:t>
      </w:r>
      <w:r w:rsidRPr="00806709">
        <w:t xml:space="preserve"> using five-fold species-stratified cross-validation, with classifier differences compared via Wilcoxon signed-rank tests (48). Additionally, </w:t>
      </w:r>
      <w:r w:rsidRPr="00806709">
        <w:rPr>
          <w:bCs/>
        </w:rPr>
        <w:t>leave-one-species-out cross-validation (LOSO-CV)</w:t>
      </w:r>
      <w:r w:rsidRPr="00806709">
        <w:t xml:space="preserve"> was performed on all 24 ISFV species to evaluate generalization to novel species.</w:t>
      </w:r>
    </w:p>
    <w:p w:rsidR="001E5551" w:rsidRPr="00806709" w:rsidRDefault="001E5551" w:rsidP="00806709">
      <w:pPr>
        <w:pStyle w:val="NormalWeb"/>
        <w:spacing w:before="0" w:beforeAutospacing="0" w:after="140" w:afterAutospacing="0" w:line="480" w:lineRule="auto"/>
      </w:pPr>
      <w:r w:rsidRPr="00806709">
        <w:t xml:space="preserve">Predictive features were identified through </w:t>
      </w:r>
      <w:r w:rsidRPr="00806709">
        <w:rPr>
          <w:bCs/>
        </w:rPr>
        <w:t>feature importance</w:t>
      </w:r>
      <w:r w:rsidRPr="00806709">
        <w:t xml:space="preserve"> using logistic regression standardized coefficients and random forest mean decrease in impurity (MDI). </w:t>
      </w:r>
      <w:r w:rsidRPr="00806709">
        <w:rPr>
          <w:bCs/>
        </w:rPr>
        <w:t>Partial dependence plots (PDPs)</w:t>
      </w:r>
      <w:r w:rsidRPr="00806709">
        <w:t xml:space="preserve"> were used to visualize the marginal effects of key features on predicted probability (50). The framework was further extended to a </w:t>
      </w:r>
      <w:r w:rsidRPr="00806709">
        <w:rPr>
          <w:bCs/>
        </w:rPr>
        <w:t>genus-level classification</w:t>
      </w:r>
      <w:r w:rsidRPr="00806709">
        <w:t xml:space="preserve"> of 3,458 genomes from 299 species across four genera: </w:t>
      </w:r>
      <w:r w:rsidRPr="00806709">
        <w:rPr>
          <w:i/>
          <w:iCs/>
        </w:rPr>
        <w:t>Flavivirus</w:t>
      </w:r>
      <w:r w:rsidRPr="00806709">
        <w:t xml:space="preserve"> (1,314 genomes, 91 species), </w:t>
      </w:r>
      <w:r w:rsidRPr="00806709">
        <w:rPr>
          <w:i/>
          <w:iCs/>
        </w:rPr>
        <w:lastRenderedPageBreak/>
        <w:t>Hepacivirus</w:t>
      </w:r>
      <w:r w:rsidRPr="00806709">
        <w:t xml:space="preserve"> (1,398 genomes, 131 species), </w:t>
      </w:r>
      <w:r w:rsidRPr="00806709">
        <w:rPr>
          <w:i/>
          <w:iCs/>
        </w:rPr>
        <w:t>Pestivirus</w:t>
      </w:r>
      <w:r w:rsidRPr="00806709">
        <w:t xml:space="preserve"> (617 genomes, 40 species), and </w:t>
      </w:r>
      <w:r w:rsidRPr="00806709">
        <w:rPr>
          <w:i/>
          <w:iCs/>
        </w:rPr>
        <w:t>Pegivirus</w:t>
      </w:r>
      <w:r w:rsidRPr="00806709">
        <w:t xml:space="preserve"> (129 genomes, 37 species), with genomes &lt; 5,000 nucleotides excluded.</w:t>
      </w:r>
    </w:p>
    <w:p w:rsidR="001E5551" w:rsidRPr="00806709" w:rsidRDefault="001E5551" w:rsidP="00806709">
      <w:pPr>
        <w:pStyle w:val="Heading3"/>
        <w:spacing w:before="0" w:after="140" w:line="480" w:lineRule="auto"/>
        <w:rPr>
          <w:rFonts w:ascii="Times New Roman" w:hAnsi="Times New Roman" w:cs="Times New Roman"/>
        </w:rPr>
      </w:pPr>
      <w:r w:rsidRPr="00806709">
        <w:rPr>
          <w:rFonts w:ascii="Times New Roman" w:hAnsi="Times New Roman" w:cs="Times New Roman"/>
        </w:rPr>
        <w:t>Software</w:t>
      </w:r>
    </w:p>
    <w:p w:rsidR="001E5551" w:rsidRDefault="001E5551" w:rsidP="00806709">
      <w:pPr>
        <w:pStyle w:val="NormalWeb"/>
        <w:spacing w:before="0" w:beforeAutospacing="0" w:after="140" w:afterAutospacing="0" w:line="480" w:lineRule="auto"/>
      </w:pPr>
      <w:r w:rsidRPr="00806709">
        <w:t>Analyses used Python 3.10, Biopython 1.81 (36), SciPy 1.11.0 (51), scikit-learn 1.3.0 (40), pandas 2.0.0 (52), NumPy 1.24.0 (53), Matplotlib 3.7.0 (54), and seaborn 0.12.0 (55).</w:t>
      </w:r>
      <w:r w:rsidR="00FC0144">
        <w:t xml:space="preserve"> </w:t>
      </w:r>
      <w:r w:rsidR="00FC0144">
        <w:t xml:space="preserve">All analysis code and curated accession lists are available at </w:t>
      </w:r>
      <w:hyperlink r:id="rId7" w:history="1">
        <w:r w:rsidR="00FC0144" w:rsidRPr="00986748">
          <w:rPr>
            <w:rStyle w:val="Hyperlink"/>
          </w:rPr>
          <w:t>https://github.com/brhanufen/Orthoflavivirus-host-range-classification</w:t>
        </w:r>
      </w:hyperlink>
    </w:p>
    <w:p w:rsidR="00FC0144" w:rsidRPr="00806709" w:rsidRDefault="00FC0144" w:rsidP="00806709">
      <w:pPr>
        <w:pStyle w:val="NormalWeb"/>
        <w:spacing w:before="0" w:beforeAutospacing="0" w:after="140" w:afterAutospacing="0" w:line="480" w:lineRule="auto"/>
      </w:pPr>
    </w:p>
    <w:p w:rsidR="001E5551" w:rsidRPr="00B406D8" w:rsidRDefault="001E5551" w:rsidP="001E5551">
      <w:pPr>
        <w:pStyle w:val="FirstParagraph"/>
        <w:spacing w:before="0" w:after="0" w:line="480" w:lineRule="auto"/>
        <w:rPr>
          <w:rFonts w:ascii="Times New Roman" w:hAnsi="Times New Roman" w:cs="Times New Roman"/>
        </w:rPr>
      </w:pPr>
    </w:p>
    <w:p w:rsidR="001E5551" w:rsidRPr="001E5551" w:rsidRDefault="001E5551" w:rsidP="001E5551">
      <w:pPr>
        <w:pStyle w:val="BodyText"/>
      </w:pPr>
    </w:p>
    <w:p w:rsidR="005C0421" w:rsidRDefault="005C0421">
      <w:bookmarkStart w:id="14" w:name="software"/>
      <w:bookmarkEnd w:id="13"/>
    </w:p>
    <w:p w:rsidR="005C0421" w:rsidRDefault="005C0421"/>
    <w:p w:rsidR="005C0421" w:rsidRDefault="005C0421"/>
    <w:p w:rsidR="005C0421" w:rsidRDefault="005C0421"/>
    <w:p w:rsidR="005C0421" w:rsidRDefault="005C0421"/>
    <w:p w:rsidR="00FE7384" w:rsidRDefault="00FE7384"/>
    <w:p w:rsidR="00FE7384" w:rsidRDefault="00FE7384"/>
    <w:p w:rsidR="00FE7384" w:rsidRDefault="00FE7384"/>
    <w:p w:rsidR="00FE7384" w:rsidRDefault="00FE7384"/>
    <w:p w:rsidR="00FE7384" w:rsidRDefault="00FE7384"/>
    <w:p w:rsidR="00FE7384" w:rsidRDefault="00FE7384"/>
    <w:p w:rsidR="00FE7384" w:rsidRDefault="00FE7384"/>
    <w:p w:rsidR="00CC14DA" w:rsidRPr="00CC14DA" w:rsidRDefault="00CC14DA" w:rsidP="00CC14DA">
      <w:pPr>
        <w:pStyle w:val="BodyText"/>
      </w:pPr>
      <w:bookmarkStart w:id="15" w:name="results"/>
      <w:bookmarkEnd w:id="3"/>
      <w:bookmarkEnd w:id="14"/>
    </w:p>
    <w:p w:rsidR="00EC1AEE" w:rsidRPr="004A1DFF" w:rsidRDefault="00B406D8">
      <w:pPr>
        <w:pStyle w:val="Heading2"/>
        <w:rPr>
          <w:rFonts w:ascii="Times New Roman" w:hAnsi="Times New Roman" w:cs="Times New Roman"/>
          <w:sz w:val="24"/>
          <w:szCs w:val="24"/>
        </w:rPr>
      </w:pPr>
      <w:r w:rsidRPr="004A1DFF">
        <w:rPr>
          <w:rFonts w:ascii="Times New Roman" w:hAnsi="Times New Roman" w:cs="Times New Roman"/>
          <w:sz w:val="24"/>
          <w:szCs w:val="24"/>
        </w:rPr>
        <w:lastRenderedPageBreak/>
        <w:t>RESULTS</w:t>
      </w:r>
    </w:p>
    <w:p w:rsidR="00CC14DA" w:rsidRDefault="00CC14DA" w:rsidP="00B406D8">
      <w:pPr>
        <w:pStyle w:val="Heading3"/>
        <w:spacing w:before="0" w:line="480" w:lineRule="auto"/>
        <w:rPr>
          <w:rFonts w:asciiTheme="minorHAnsi" w:eastAsiaTheme="minorHAnsi" w:hAnsiTheme="minorHAnsi" w:cstheme="minorBidi"/>
          <w:b w:val="0"/>
          <w:bCs w:val="0"/>
          <w:color w:val="auto"/>
        </w:rPr>
      </w:pPr>
      <w:bookmarkStart w:id="16" w:name="Xc844b31548265191a46314c647773e4aae01c71"/>
    </w:p>
    <w:p w:rsidR="00EC1AEE" w:rsidRPr="00B406D8" w:rsidRDefault="00B406D8" w:rsidP="00B406D8">
      <w:pPr>
        <w:pStyle w:val="Heading3"/>
        <w:spacing w:before="0" w:line="480" w:lineRule="auto"/>
        <w:rPr>
          <w:rFonts w:ascii="Times New Roman" w:hAnsi="Times New Roman" w:cs="Times New Roman"/>
        </w:rPr>
      </w:pPr>
      <w:r>
        <w:rPr>
          <w:rFonts w:ascii="Times New Roman" w:hAnsi="Times New Roman" w:cs="Times New Roman"/>
        </w:rPr>
        <w:t xml:space="preserve">A curated </w:t>
      </w:r>
      <w:r>
        <w:rPr>
          <w:rFonts w:ascii="Times New Roman" w:hAnsi="Times New Roman" w:cs="Times New Roman"/>
          <w:i/>
          <w:iCs/>
        </w:rPr>
        <w:t>Flavivirus</w:t>
      </w:r>
      <w:r>
        <w:rPr>
          <w:rFonts w:ascii="Times New Roman" w:hAnsi="Times New Roman" w:cs="Times New Roman"/>
        </w:rPr>
        <w:t xml:space="preserve"> genome dataset spanning diverse host range phenotypes</w:t>
      </w:r>
    </w:p>
    <w:p w:rsidR="00EC1AEE" w:rsidRPr="00B406D8" w:rsidRDefault="00CD3D93" w:rsidP="004A1DFF">
      <w:pPr>
        <w:pStyle w:val="FirstParagraph"/>
        <w:spacing w:before="0" w:after="140" w:line="480" w:lineRule="auto"/>
        <w:rPr>
          <w:rFonts w:ascii="Times New Roman" w:hAnsi="Times New Roman" w:cs="Times New Roman"/>
        </w:rPr>
      </w:pPr>
      <w:r w:rsidRPr="00CD3D93">
        <w:rPr>
          <w:rFonts w:ascii="Times New Roman" w:hAnsi="Times New Roman" w:cs="Times New Roman"/>
        </w:rPr>
        <w:t xml:space="preserve">To investigate whether host range in </w:t>
      </w:r>
      <w:r w:rsidRPr="00CD3D93">
        <w:rPr>
          <w:rStyle w:val="Emphasis"/>
          <w:rFonts w:ascii="Times New Roman" w:hAnsi="Times New Roman" w:cs="Times New Roman"/>
        </w:rPr>
        <w:t>Flavivirus</w:t>
      </w:r>
      <w:r w:rsidRPr="00CD3D93">
        <w:rPr>
          <w:rFonts w:ascii="Times New Roman" w:hAnsi="Times New Roman" w:cs="Times New Roman"/>
        </w:rPr>
        <w:t xml:space="preserve"> is encoded in genome-wide compositional signatures, we required a comprehensive dataset with verified host range annotations spanning both dual-host and insect-specific lineages. We assembled a curated dataset of 1,285 complete </w:t>
      </w:r>
      <w:r w:rsidRPr="00CD3D93">
        <w:rPr>
          <w:rStyle w:val="Emphasis"/>
          <w:rFonts w:ascii="Times New Roman" w:hAnsi="Times New Roman" w:cs="Times New Roman"/>
        </w:rPr>
        <w:t>Flavivirus</w:t>
      </w:r>
      <w:r w:rsidRPr="00CD3D93">
        <w:rPr>
          <w:rFonts w:ascii="Times New Roman" w:hAnsi="Times New Roman" w:cs="Times New Roman"/>
        </w:rPr>
        <w:t xml:space="preserve"> genomes representing 53 species through systematic retrieval and quality control (Fig. 1A)</w:t>
      </w:r>
      <w:r w:rsidRPr="00CD3D93">
        <w:rPr>
          <w:rFonts w:ascii="Times New Roman" w:hAnsi="Times New Roman" w:cs="Times New Roman"/>
        </w:rPr>
        <w:t>.</w:t>
      </w:r>
      <w:r>
        <w:t xml:space="preserve"> </w:t>
      </w:r>
      <w:r w:rsidR="00B406D8">
        <w:rPr>
          <w:rFonts w:ascii="Times New Roman" w:hAnsi="Times New Roman" w:cs="Times New Roman"/>
        </w:rPr>
        <w:t>Species with ambiguous host range documentation were excluded following literature review (8, 9, 37).</w:t>
      </w:r>
    </w:p>
    <w:p w:rsidR="00EC1AEE" w:rsidRPr="00F839C7" w:rsidRDefault="00B406D8" w:rsidP="004A1DFF">
      <w:pPr>
        <w:pStyle w:val="BodyText"/>
        <w:spacing w:before="0" w:after="140" w:line="480" w:lineRule="auto"/>
        <w:rPr>
          <w:rFonts w:ascii="Times New Roman" w:hAnsi="Times New Roman" w:cs="Times New Roman"/>
        </w:rPr>
      </w:pPr>
      <w:r>
        <w:rPr>
          <w:rFonts w:ascii="Times New Roman" w:hAnsi="Times New Roman" w:cs="Times New Roman"/>
        </w:rPr>
        <w:t>The dataset comprises 1,178 genomes from 29 dual-host species and 107 genomes from 24 ISFV species (Fig. 1B). The ~11:1 class imbalance reflects greater sequencing effort for medically important arboviruses, including dengue virus serotypes, West Nile virus, Zika virus, and Japanese encephalitis virus.</w:t>
      </w:r>
      <w:r w:rsidR="00F839C7">
        <w:rPr>
          <w:rFonts w:ascii="Times New Roman" w:hAnsi="Times New Roman" w:cs="Times New Roman"/>
        </w:rPr>
        <w:t xml:space="preserve"> </w:t>
      </w:r>
      <w:r w:rsidR="00F839C7" w:rsidRPr="00F839C7">
        <w:rPr>
          <w:rFonts w:ascii="Times New Roman" w:hAnsi="Times New Roman" w:cs="Times New Roman"/>
        </w:rPr>
        <w:t>The dataset was partitioned into three non-overlapping subsets to enable rigorous model development and evaluation (Fig. 1C). The training set, used to fit model parameters, comprised 1,148 genomes from 31 species (1,071 dual-host from 17 species; 77 ISFV from 14 species). The validation set, used to tune model hyperparameters and select decision thresholds, contained 17 genomes from 11 species. The test set, held out entirely during model development and used solely to assess generalization to unseen species, contained 120 genomes from 11 species (103 dual-host from 8 species; 17 ISFV from 3 species). No species appeared in more than one partition, ensuring that performance reflects generalization across species boundaries rather than memorization of within-species similarity.</w:t>
      </w:r>
    </w:p>
    <w:p w:rsidR="00EC1AEE" w:rsidRDefault="0029256E">
      <w:pPr>
        <w:pStyle w:val="FirstParagraph"/>
      </w:pPr>
      <w:r>
        <w:rPr>
          <w:noProof/>
          <w:lang w:eastAsia="ko-KR"/>
        </w:rPr>
        <w:lastRenderedPageBreak/>
        <w:drawing>
          <wp:inline distT="0" distB="0" distL="0" distR="0" wp14:anchorId="0E55952E" wp14:editId="0448C691">
            <wp:extent cx="5398008" cy="6758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_publication.tiff"/>
                    <pic:cNvPicPr/>
                  </pic:nvPicPr>
                  <pic:blipFill>
                    <a:blip r:embed="rId8">
                      <a:extLst>
                        <a:ext uri="{28A0092B-C50C-407E-A947-70E740481C1C}">
                          <a14:useLocalDpi xmlns:a14="http://schemas.microsoft.com/office/drawing/2010/main" val="0"/>
                        </a:ext>
                      </a:extLst>
                    </a:blip>
                    <a:stretch>
                      <a:fillRect/>
                    </a:stretch>
                  </pic:blipFill>
                  <pic:spPr>
                    <a:xfrm>
                      <a:off x="0" y="0"/>
                      <a:ext cx="5398008" cy="6758940"/>
                    </a:xfrm>
                    <a:prstGeom prst="rect">
                      <a:avLst/>
                    </a:prstGeom>
                  </pic:spPr>
                </pic:pic>
              </a:graphicData>
            </a:graphic>
          </wp:inline>
        </w:drawing>
      </w:r>
    </w:p>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b/>
          <w:bCs/>
        </w:rPr>
        <w:t>Fig. 1. Dataset overview and curation workflow.</w:t>
      </w:r>
      <w:r>
        <w:rPr>
          <w:rFonts w:ascii="Times New Roman" w:hAnsi="Times New Roman" w:cs="Times New Roman"/>
        </w:rPr>
        <w:t xml:space="preserve"> (A) Data curation flowchart showing filtering steps from initial GenBank retrieval (4,634 records) to the final curated dataset (1,285 genomes from 53 species). Exclusion criteria included non-</w:t>
      </w:r>
      <w:r>
        <w:rPr>
          <w:rFonts w:ascii="Times New Roman" w:hAnsi="Times New Roman" w:cs="Times New Roman"/>
          <w:i/>
          <w:iCs/>
        </w:rPr>
        <w:t>Flavivirus</w:t>
      </w:r>
      <w:r>
        <w:rPr>
          <w:rFonts w:ascii="Times New Roman" w:hAnsi="Times New Roman" w:cs="Times New Roman"/>
        </w:rPr>
        <w:t xml:space="preserve"> genera, segmented genomes, partial </w:t>
      </w:r>
      <w:r>
        <w:rPr>
          <w:rFonts w:ascii="Times New Roman" w:hAnsi="Times New Roman" w:cs="Times New Roman"/>
        </w:rPr>
        <w:lastRenderedPageBreak/>
        <w:t>sequences, and species with ambiguous host range annotation. (B) Species distribution showing genome counts per species, sorted by host range class. The horizontal line separates ISFV species (below) from dual-host species (above). (C) Dataset partitioning into training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w:rPr>
            <w:rFonts w:ascii="Cambria Math" w:hAnsi="Cambria Math" w:cs="Times New Roman"/>
          </w:rPr>
          <m:t>148</m:t>
        </m:r>
      </m:oMath>
      <w:r>
        <w:rPr>
          <w:rFonts w:ascii="Times New Roman" w:hAnsi="Times New Roman" w:cs="Times New Roman"/>
        </w:rPr>
        <w:t>), validation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17</m:t>
        </m:r>
      </m:oMath>
      <w:r>
        <w:rPr>
          <w:rFonts w:ascii="Times New Roman" w:hAnsi="Times New Roman" w:cs="Times New Roman"/>
        </w:rPr>
        <w:t>), and test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120</m:t>
        </m:r>
      </m:oMath>
      <w:r>
        <w:rPr>
          <w:rFonts w:ascii="Times New Roman" w:hAnsi="Times New Roman" w:cs="Times New Roman"/>
        </w:rPr>
        <w:t>) sets. Species-stratified splitting ensures no species appears in multiple partitions.</w:t>
      </w:r>
      <w:r w:rsidR="002846C2" w:rsidRPr="002846C2">
        <w:rPr>
          <w:rFonts w:ascii="Times New Roman" w:hAnsi="Times New Roman" w:cs="Times New Roman"/>
        </w:rPr>
        <w:t xml:space="preserve"> </w:t>
      </w:r>
      <w:r w:rsidR="002846C2" w:rsidRPr="002846C2">
        <w:rPr>
          <w:rFonts w:ascii="Times New Roman" w:hAnsi="Times New Roman" w:cs="Times New Roman"/>
        </w:rPr>
        <w:t>(D) Summary statistics for the curated dataset, including genome and species counts, class imbalance ratio, data parti</w:t>
      </w:r>
      <w:r w:rsidR="002846C2" w:rsidRPr="002846C2">
        <w:rPr>
          <w:rFonts w:ascii="Times New Roman" w:hAnsi="Times New Roman" w:cs="Times New Roman"/>
        </w:rPr>
        <w:t>tion sizes, and feature counts.</w:t>
      </w:r>
    </w:p>
    <w:p w:rsidR="00EC1AEE" w:rsidRPr="00B406D8" w:rsidRDefault="00B406D8" w:rsidP="00B406D8">
      <w:pPr>
        <w:pStyle w:val="Heading3"/>
        <w:spacing w:before="0" w:line="480" w:lineRule="auto"/>
        <w:rPr>
          <w:rFonts w:ascii="Times New Roman" w:hAnsi="Times New Roman" w:cs="Times New Roman"/>
        </w:rPr>
      </w:pPr>
      <w:bookmarkStart w:id="17" w:name="X9873dd87693fbb90052de92848b19047da7a3dc"/>
      <w:bookmarkEnd w:id="16"/>
      <w:r>
        <w:rPr>
          <w:rFonts w:ascii="Times New Roman" w:hAnsi="Times New Roman" w:cs="Times New Roman"/>
        </w:rPr>
        <w:t>Distinct compositional signatures distinguish ISFV from dual-host flaviviruses</w:t>
      </w:r>
    </w:p>
    <w:p w:rsidR="00EC1AEE" w:rsidRPr="00B406D8" w:rsidRDefault="00B406D8" w:rsidP="00B406D8">
      <w:pPr>
        <w:pStyle w:val="FirstParagraph"/>
        <w:spacing w:before="0" w:after="0" w:line="480" w:lineRule="auto"/>
        <w:rPr>
          <w:rFonts w:ascii="Times New Roman" w:hAnsi="Times New Roman" w:cs="Times New Roman"/>
        </w:rPr>
      </w:pPr>
      <w:r>
        <w:rPr>
          <w:rFonts w:ascii="Times New Roman" w:hAnsi="Times New Roman" w:cs="Times New Roman"/>
        </w:rPr>
        <w:t>Genome composition analysis revealed significant differences between host range classes (Fig. 2A). ISFVs exhibited higher GC content (</w:t>
      </w:r>
      <m:oMath>
        <m:r>
          <w:rPr>
            <w:rFonts w:ascii="Cambria Math" w:hAnsi="Cambria Math" w:cs="Times New Roman"/>
          </w:rPr>
          <m:t>51.4</m:t>
        </m:r>
        <m:r>
          <m:rPr>
            <m:sty m:val="p"/>
          </m:rPr>
          <w:rPr>
            <w:rFonts w:ascii="Cambria Math" w:hAnsi="Cambria Math" w:cs="Times New Roman"/>
          </w:rPr>
          <m:t>±</m:t>
        </m:r>
        <m:r>
          <w:rPr>
            <w:rFonts w:ascii="Cambria Math" w:hAnsi="Cambria Math" w:cs="Times New Roman"/>
          </w:rPr>
          <m:t>1.8</m:t>
        </m:r>
        <m:r>
          <m:rPr>
            <m:sty m:val="p"/>
          </m:rPr>
          <w:rPr>
            <w:rFonts w:ascii="Cambria Math" w:hAnsi="Cambria Math" w:cs="Times New Roman"/>
          </w:rPr>
          <m:t>%</m:t>
        </m:r>
      </m:oMath>
      <w:r>
        <w:rPr>
          <w:rFonts w:ascii="Times New Roman" w:hAnsi="Times New Roman" w:cs="Times New Roman"/>
        </w:rPr>
        <w:t>) than dual-host flaviviruses (</w:t>
      </w:r>
      <m:oMath>
        <m:r>
          <w:rPr>
            <w:rFonts w:ascii="Cambria Math" w:hAnsi="Cambria Math" w:cs="Times New Roman"/>
          </w:rPr>
          <m:t>46.9</m:t>
        </m:r>
        <m:r>
          <m:rPr>
            <m:sty m:val="p"/>
          </m:rPr>
          <w:rPr>
            <w:rFonts w:ascii="Cambria Math" w:hAnsi="Cambria Math" w:cs="Times New Roman"/>
          </w:rPr>
          <m:t>±</m:t>
        </m:r>
        <m:r>
          <w:rPr>
            <w:rFonts w:ascii="Cambria Math" w:hAnsi="Cambria Math" w:cs="Times New Roman"/>
          </w:rPr>
          <m:t>1.6</m:t>
        </m:r>
        <m:r>
          <m:rPr>
            <m:sty m:val="p"/>
          </m:rPr>
          <w:rPr>
            <w:rFonts w:ascii="Cambria Math" w:hAnsi="Cambria Math" w:cs="Times New Roman"/>
          </w:rPr>
          <m:t>%</m:t>
        </m:r>
      </m:oMath>
      <w:r>
        <w:rPr>
          <w:rFonts w:ascii="Times New Roman" w:hAnsi="Times New Roman" w:cs="Times New Roman"/>
        </w:rPr>
        <w:t xml:space="preserve">; Mann-Whitney </w:t>
      </w:r>
      <m:oMath>
        <m:r>
          <w:rPr>
            <w:rFonts w:ascii="Cambria Math" w:hAnsi="Cambria Math" w:cs="Times New Roman"/>
          </w:rPr>
          <m:t>U</m:t>
        </m:r>
        <m:r>
          <m:rPr>
            <m:sty m:val="p"/>
          </m:rPr>
          <w:rPr>
            <w:rFonts w:ascii="Cambria Math" w:hAnsi="Cambria Math" w:cs="Times New Roman"/>
          </w:rPr>
          <m:t>=</m:t>
        </m:r>
        <m:r>
          <w:rPr>
            <w:rFonts w:ascii="Cambria Math" w:hAnsi="Cambria Math" w:cs="Times New Roman"/>
          </w:rPr>
          <m:t>119</m:t>
        </m:r>
        <m:r>
          <m:rPr>
            <m:sty m:val="p"/>
          </m:rPr>
          <w:rPr>
            <w:rFonts w:ascii="Cambria Math" w:hAnsi="Cambria Math" w:cs="Times New Roman"/>
          </w:rPr>
          <m:t>,</m:t>
        </m:r>
        <m:r>
          <w:rPr>
            <w:rFonts w:ascii="Cambria Math" w:hAnsi="Cambria Math" w:cs="Times New Roman"/>
          </w:rPr>
          <m:t>207</m:t>
        </m:r>
      </m:oMath>
      <w:r>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Pr>
          <w:rFonts w:ascii="Times New Roman" w:hAnsi="Times New Roman" w:cs="Times New Roman"/>
        </w:rPr>
        <w:t xml:space="preserve">, Cohen’s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2.79</m:t>
        </m:r>
      </m:oMath>
      <w:r>
        <w:rPr>
          <w:rFonts w:ascii="Times New Roman" w:hAnsi="Times New Roman" w:cs="Times New Roman"/>
        </w:rPr>
        <w:t xml:space="preserve">). Genome lengths differed modestly (ISFV: </w:t>
      </w:r>
      <m:oMath>
        <m:r>
          <w:rPr>
            <w:rFonts w:ascii="Cambria Math" w:hAnsi="Cambria Math" w:cs="Times New Roman"/>
          </w:rPr>
          <m:t>10</m:t>
        </m:r>
        <m:r>
          <m:rPr>
            <m:sty m:val="p"/>
          </m:rPr>
          <w:rPr>
            <w:rFonts w:ascii="Cambria Math" w:hAnsi="Cambria Math" w:cs="Times New Roman"/>
          </w:rPr>
          <m:t>,</m:t>
        </m:r>
        <m:r>
          <w:rPr>
            <w:rFonts w:ascii="Cambria Math" w:hAnsi="Cambria Math" w:cs="Times New Roman"/>
          </w:rPr>
          <m:t>781</m:t>
        </m:r>
        <m:r>
          <m:rPr>
            <m:sty m:val="p"/>
          </m:rPr>
          <w:rPr>
            <w:rFonts w:ascii="Cambria Math" w:hAnsi="Cambria Math" w:cs="Times New Roman"/>
          </w:rPr>
          <m:t>±</m:t>
        </m:r>
        <m:r>
          <w:rPr>
            <w:rFonts w:ascii="Cambria Math" w:hAnsi="Cambria Math" w:cs="Times New Roman"/>
          </w:rPr>
          <m:t>187</m:t>
        </m:r>
      </m:oMath>
      <w:r>
        <w:rPr>
          <w:rFonts w:ascii="Times New Roman" w:hAnsi="Times New Roman" w:cs="Times New Roman"/>
        </w:rPr>
        <w:t xml:space="preserve"> nt; dual-host: </w:t>
      </w:r>
      <m:oMath>
        <m:r>
          <w:rPr>
            <w:rFonts w:ascii="Cambria Math" w:hAnsi="Cambria Math" w:cs="Times New Roman"/>
          </w:rPr>
          <m:t>10</m:t>
        </m:r>
        <m:r>
          <m:rPr>
            <m:sty m:val="p"/>
          </m:rPr>
          <w:rPr>
            <w:rFonts w:ascii="Cambria Math" w:hAnsi="Cambria Math" w:cs="Times New Roman"/>
          </w:rPr>
          <m:t>,</m:t>
        </m:r>
        <m:r>
          <w:rPr>
            <w:rFonts w:ascii="Cambria Math" w:hAnsi="Cambria Math" w:cs="Times New Roman"/>
          </w:rPr>
          <m:t>736</m:t>
        </m:r>
        <m:r>
          <m:rPr>
            <m:sty m:val="p"/>
          </m:rPr>
          <w:rPr>
            <w:rFonts w:ascii="Cambria Math" w:hAnsi="Cambria Math" w:cs="Times New Roman"/>
          </w:rPr>
          <m:t>±</m:t>
        </m:r>
        <m:r>
          <w:rPr>
            <w:rFonts w:ascii="Cambria Math" w:hAnsi="Cambria Math" w:cs="Times New Roman"/>
          </w:rPr>
          <m:t>92</m:t>
        </m:r>
      </m:oMath>
      <w:r>
        <w:rPr>
          <w:rFonts w:ascii="Times New Roman" w:hAnsi="Times New Roman" w:cs="Times New Roman"/>
        </w:rPr>
        <w:t xml:space="preserve"> nt; </w:t>
      </w:r>
      <m:oMath>
        <m:r>
          <w:rPr>
            <w:rFonts w:ascii="Cambria Math" w:hAnsi="Cambria Math" w:cs="Times New Roman"/>
          </w:rPr>
          <m:t>U</m:t>
        </m:r>
        <m:r>
          <m:rPr>
            <m:sty m:val="p"/>
          </m:rPr>
          <w:rPr>
            <w:rFonts w:ascii="Cambria Math" w:hAnsi="Cambria Math" w:cs="Times New Roman"/>
          </w:rPr>
          <m:t>=</m:t>
        </m:r>
        <m:r>
          <w:rPr>
            <w:rFonts w:ascii="Cambria Math" w:hAnsi="Cambria Math" w:cs="Times New Roman"/>
          </w:rPr>
          <m:t>87</m:t>
        </m:r>
        <m:r>
          <m:rPr>
            <m:sty m:val="p"/>
          </m:rPr>
          <w:rPr>
            <w:rFonts w:ascii="Cambria Math" w:hAnsi="Cambria Math" w:cs="Times New Roman"/>
          </w:rPr>
          <m:t>,</m:t>
        </m:r>
        <m:r>
          <w:rPr>
            <w:rFonts w:ascii="Cambria Math" w:hAnsi="Cambria Math" w:cs="Times New Roman"/>
          </w:rPr>
          <m:t>032</m:t>
        </m:r>
      </m:oMath>
      <w:r>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Pr>
          <w:rFonts w:ascii="Times New Roman" w:hAnsi="Times New Roman" w:cs="Times New Roman"/>
        </w:rPr>
        <w:t xml:space="preserv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0.44</m:t>
        </m:r>
      </m:oMath>
      <w:r>
        <w:rPr>
          <w:rFonts w:ascii="Times New Roman" w:hAnsi="Times New Roman" w:cs="Times New Roman"/>
        </w:rPr>
        <w:t>).</w:t>
      </w:r>
    </w:p>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rPr>
        <w:t>The most striking difference was CpG dinucleotide representation (Fig. 2B). Dual-host flaviviruses exhibited pronounced CpG suppression:</w:t>
      </w:r>
    </w:p>
    <w:p w:rsidR="00EC1AEE" w:rsidRPr="00B406D8" w:rsidRDefault="00A32DF8" w:rsidP="00B406D8">
      <w:pPr>
        <w:pStyle w:val="BodyText"/>
        <w:spacing w:before="0" w:after="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CpG O/E</m:t>
              </m:r>
            </m:e>
            <m:sub>
              <m:r>
                <m:rPr>
                  <m:nor/>
                </m:rPr>
                <w:rPr>
                  <w:rFonts w:ascii="Times New Roman" w:hAnsi="Times New Roman" w:cs="Times New Roman"/>
                </w:rPr>
                <m:t>dual-host</m:t>
              </m:r>
            </m:sub>
          </m:sSub>
          <m:r>
            <m:rPr>
              <m:sty m:val="p"/>
            </m:rPr>
            <w:rPr>
              <w:rFonts w:ascii="Cambria Math" w:hAnsi="Cambria Math" w:cs="Times New Roman"/>
            </w:rPr>
            <m:t>=</m:t>
          </m:r>
          <m:r>
            <w:rPr>
              <w:rFonts w:ascii="Cambria Math" w:hAnsi="Cambria Math" w:cs="Times New Roman"/>
            </w:rPr>
            <m:t>0.427</m:t>
          </m:r>
          <m:r>
            <m:rPr>
              <m:sty m:val="p"/>
            </m:rPr>
            <w:rPr>
              <w:rFonts w:ascii="Cambria Math" w:hAnsi="Cambria Math" w:cs="Times New Roman"/>
            </w:rPr>
            <m:t>±</m:t>
          </m:r>
          <m:r>
            <w:rPr>
              <w:rFonts w:ascii="Cambria Math" w:hAnsi="Cambria Math" w:cs="Times New Roman"/>
            </w:rPr>
            <m:t>0.035</m:t>
          </m:r>
        </m:oMath>
      </m:oMathPara>
    </w:p>
    <w:p w:rsidR="00EC1AEE" w:rsidRPr="00B406D8" w:rsidRDefault="00B406D8" w:rsidP="00B406D8">
      <w:pPr>
        <w:pStyle w:val="FirstParagraph"/>
        <w:spacing w:before="0" w:after="0" w:line="480" w:lineRule="auto"/>
        <w:rPr>
          <w:rFonts w:ascii="Times New Roman" w:hAnsi="Times New Roman" w:cs="Times New Roman"/>
        </w:rPr>
      </w:pPr>
      <w:r>
        <w:rPr>
          <w:rFonts w:ascii="Times New Roman" w:hAnsi="Times New Roman" w:cs="Times New Roman"/>
        </w:rPr>
        <w:t>ISFVs showed relaxed suppression approaching expected frequencies:</w:t>
      </w:r>
    </w:p>
    <w:p w:rsidR="00EC1AEE" w:rsidRPr="00B406D8" w:rsidRDefault="00A32DF8" w:rsidP="00B406D8">
      <w:pPr>
        <w:pStyle w:val="BodyText"/>
        <w:spacing w:before="0" w:after="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CpG O/E</m:t>
              </m:r>
            </m:e>
            <m:sub>
              <m:r>
                <m:rPr>
                  <m:nor/>
                </m:rPr>
                <w:rPr>
                  <w:rFonts w:ascii="Times New Roman" w:hAnsi="Times New Roman" w:cs="Times New Roman"/>
                </w:rPr>
                <m:t>ISFV</m:t>
              </m:r>
            </m:sub>
          </m:sSub>
          <m:r>
            <m:rPr>
              <m:sty m:val="p"/>
            </m:rPr>
            <w:rPr>
              <w:rFonts w:ascii="Cambria Math" w:hAnsi="Cambria Math" w:cs="Times New Roman"/>
            </w:rPr>
            <m:t>=</m:t>
          </m:r>
          <m:r>
            <w:rPr>
              <w:rFonts w:ascii="Cambria Math" w:hAnsi="Cambria Math" w:cs="Times New Roman"/>
            </w:rPr>
            <m:t>0.858</m:t>
          </m:r>
          <m:r>
            <m:rPr>
              <m:sty m:val="p"/>
            </m:rPr>
            <w:rPr>
              <w:rFonts w:ascii="Cambria Math" w:hAnsi="Cambria Math" w:cs="Times New Roman"/>
            </w:rPr>
            <m:t>±</m:t>
          </m:r>
          <m:r>
            <w:rPr>
              <w:rFonts w:ascii="Cambria Math" w:hAnsi="Cambria Math" w:cs="Times New Roman"/>
            </w:rPr>
            <m:t>0.098</m:t>
          </m:r>
        </m:oMath>
      </m:oMathPara>
    </w:p>
    <w:p w:rsidR="00EC1AEE" w:rsidRPr="00B406D8" w:rsidRDefault="00B406D8" w:rsidP="00B406D8">
      <w:pPr>
        <w:pStyle w:val="FirstParagraph"/>
        <w:spacing w:before="0" w:after="0" w:line="480" w:lineRule="auto"/>
        <w:rPr>
          <w:rFonts w:ascii="Times New Roman" w:hAnsi="Times New Roman" w:cs="Times New Roman"/>
        </w:rPr>
      </w:pPr>
      <w:r>
        <w:rPr>
          <w:rFonts w:ascii="Times New Roman" w:hAnsi="Times New Roman" w:cs="Times New Roman"/>
        </w:rPr>
        <w:t>This difference was highly significant (</w:t>
      </w:r>
      <m:oMath>
        <m:r>
          <w:rPr>
            <w:rFonts w:ascii="Cambria Math" w:hAnsi="Cambria Math" w:cs="Times New Roman"/>
          </w:rPr>
          <m:t>U</m:t>
        </m:r>
        <m:r>
          <m:rPr>
            <m:sty m:val="p"/>
          </m:rPr>
          <w:rPr>
            <w:rFonts w:ascii="Cambria Math" w:hAnsi="Cambria Math" w:cs="Times New Roman"/>
          </w:rPr>
          <m:t>=</m:t>
        </m:r>
        <m:r>
          <w:rPr>
            <w:rFonts w:ascii="Cambria Math" w:hAnsi="Cambria Math" w:cs="Times New Roman"/>
          </w:rPr>
          <m:t>125</m:t>
        </m:r>
        <m:r>
          <m:rPr>
            <m:sty m:val="p"/>
          </m:rPr>
          <w:rPr>
            <w:rFonts w:ascii="Cambria Math" w:hAnsi="Cambria Math" w:cs="Times New Roman"/>
          </w:rPr>
          <m:t>,</m:t>
        </m:r>
        <m:r>
          <w:rPr>
            <w:rFonts w:ascii="Cambria Math" w:hAnsi="Cambria Math" w:cs="Times New Roman"/>
          </w:rPr>
          <m:t>813</m:t>
        </m:r>
      </m:oMath>
      <w:r>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Pr>
          <w:rFonts w:ascii="Times New Roman" w:hAnsi="Times New Roman" w:cs="Times New Roman"/>
        </w:rPr>
        <w:t>) with an exceptionally large effect size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9.87</m:t>
        </m:r>
      </m:oMath>
      <w:r>
        <w:rPr>
          <w:rFonts w:ascii="Times New Roman" w:hAnsi="Times New Roman" w:cs="Times New Roman"/>
        </w:rPr>
        <w:t>), consistent with ZAP-mediated selection in vertebrate hosts (19, 20).</w:t>
      </w:r>
    </w:p>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rPr>
        <w:t>UpA O/E ratios showed an opposite pattern (Fig. 2B). Dual-host viruses exhibited higher UpA O/E (</w:t>
      </w:r>
      <m:oMath>
        <m:r>
          <w:rPr>
            <w:rFonts w:ascii="Cambria Math" w:hAnsi="Cambria Math" w:cs="Times New Roman"/>
          </w:rPr>
          <m:t>0.575</m:t>
        </m:r>
        <m:r>
          <m:rPr>
            <m:sty m:val="p"/>
          </m:rPr>
          <w:rPr>
            <w:rFonts w:ascii="Cambria Math" w:hAnsi="Cambria Math" w:cs="Times New Roman"/>
          </w:rPr>
          <m:t>±</m:t>
        </m:r>
        <m:r>
          <w:rPr>
            <w:rFonts w:ascii="Cambria Math" w:hAnsi="Cambria Math" w:cs="Times New Roman"/>
          </w:rPr>
          <m:t>0.046</m:t>
        </m:r>
      </m:oMath>
      <w:r>
        <w:rPr>
          <w:rFonts w:ascii="Times New Roman" w:hAnsi="Times New Roman" w:cs="Times New Roman"/>
        </w:rPr>
        <w:t>) than ISFVs (</w:t>
      </w:r>
      <m:oMath>
        <m:r>
          <w:rPr>
            <w:rFonts w:ascii="Cambria Math" w:hAnsi="Cambria Math" w:cs="Times New Roman"/>
          </w:rPr>
          <m:t>0.536</m:t>
        </m:r>
        <m:r>
          <m:rPr>
            <m:sty m:val="p"/>
          </m:rPr>
          <w:rPr>
            <w:rFonts w:ascii="Cambria Math" w:hAnsi="Cambria Math" w:cs="Times New Roman"/>
          </w:rPr>
          <m:t>±</m:t>
        </m:r>
        <m:r>
          <w:rPr>
            <w:rFonts w:ascii="Cambria Math" w:hAnsi="Cambria Math" w:cs="Times New Roman"/>
          </w:rPr>
          <m:t>0.060</m:t>
        </m:r>
      </m:oMath>
      <w:r>
        <w:rPr>
          <w:rFonts w:ascii="Times New Roman" w:hAnsi="Times New Roman" w:cs="Times New Roman"/>
        </w:rPr>
        <w:t xml:space="preserve">; </w:t>
      </w:r>
      <m:oMath>
        <m:r>
          <w:rPr>
            <w:rFonts w:ascii="Cambria Math" w:hAnsi="Cambria Math" w:cs="Times New Roman"/>
          </w:rPr>
          <m:t>U</m:t>
        </m:r>
        <m:r>
          <m:rPr>
            <m:sty m:val="p"/>
          </m:rPr>
          <w:rPr>
            <w:rFonts w:ascii="Cambria Math" w:hAnsi="Cambria Math" w:cs="Times New Roman"/>
          </w:rPr>
          <m:t>=</m:t>
        </m:r>
        <m:r>
          <w:rPr>
            <w:rFonts w:ascii="Cambria Math" w:hAnsi="Cambria Math" w:cs="Times New Roman"/>
          </w:rPr>
          <m:t>37</m:t>
        </m:r>
        <m:r>
          <m:rPr>
            <m:sty m:val="p"/>
          </m:rPr>
          <w:rPr>
            <w:rFonts w:ascii="Cambria Math" w:hAnsi="Cambria Math" w:cs="Times New Roman"/>
          </w:rPr>
          <m:t>,</m:t>
        </m:r>
        <m:r>
          <w:rPr>
            <w:rFonts w:ascii="Cambria Math" w:hAnsi="Cambria Math" w:cs="Times New Roman"/>
          </w:rPr>
          <m:t>636</m:t>
        </m:r>
      </m:oMath>
      <w:r>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Pr>
          <w:rFonts w:ascii="Times New Roman" w:hAnsi="Times New Roman" w:cs="Times New Roman"/>
        </w:rPr>
        <w:t xml:space="preserv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0.83</m:t>
        </m:r>
      </m:oMath>
      <w:r>
        <w:rPr>
          <w:rFonts w:ascii="Times New Roman" w:hAnsi="Times New Roman" w:cs="Times New Roman"/>
        </w:rPr>
        <w:t>).</w:t>
      </w:r>
    </w:p>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rPr>
        <w:t>A dinucleotide O/E heatmap confirmed CpG as the dominant difference (</w:t>
      </w:r>
      <m:oMath>
        <m:r>
          <w:rPr>
            <w:rFonts w:ascii="Cambria Math" w:hAnsi="Cambria Math" w:cs="Times New Roman"/>
          </w:rPr>
          <m:t>Δ</m:t>
        </m:r>
        <m:r>
          <m:rPr>
            <m:sty m:val="p"/>
          </m:rPr>
          <w:rPr>
            <w:rFonts w:ascii="Cambria Math" w:hAnsi="Cambria Math" w:cs="Times New Roman"/>
          </w:rPr>
          <m:t>=</m:t>
        </m:r>
        <m:r>
          <w:rPr>
            <w:rFonts w:ascii="Cambria Math" w:hAnsi="Cambria Math" w:cs="Times New Roman"/>
          </w:rPr>
          <m:t>0.43</m:t>
        </m:r>
      </m:oMath>
      <w:r>
        <w:rPr>
          <w:rFonts w:ascii="Times New Roman" w:hAnsi="Times New Roman" w:cs="Times New Roman"/>
        </w:rPr>
        <w:t>) between classes (Fig. 2C).</w:t>
      </w:r>
    </w:p>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rPr>
        <w:lastRenderedPageBreak/>
        <w:t>PCA of RSCU features demonstrated clear host range separation (Fig. 2D). PC1 captured 38.0% and PC2 captured 11.6% of variance:</w:t>
      </w:r>
    </w:p>
    <w:p w:rsidR="00EC1AEE" w:rsidRPr="00B406D8" w:rsidRDefault="00A32DF8" w:rsidP="00B406D8">
      <w:pPr>
        <w:pStyle w:val="BodyText"/>
        <w:spacing w:before="0" w:after="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Var</m:t>
              </m:r>
            </m:e>
            <m:sub>
              <m:r>
                <m:rPr>
                  <m:nor/>
                </m:rPr>
                <w:rPr>
                  <w:rFonts w:ascii="Times New Roman" w:hAnsi="Times New Roman" w:cs="Times New Roman"/>
                </w:rPr>
                <m:t>PC1+PC2</m:t>
              </m:r>
            </m:sub>
          </m:sSub>
          <m:r>
            <m:rPr>
              <m:sty m:val="p"/>
            </m:rPr>
            <w:rPr>
              <w:rFonts w:ascii="Cambria Math" w:hAnsi="Cambria Math" w:cs="Times New Roman"/>
            </w:rPr>
            <m:t>=</m:t>
          </m:r>
          <m:r>
            <w:rPr>
              <w:rFonts w:ascii="Cambria Math" w:hAnsi="Cambria Math" w:cs="Times New Roman"/>
            </w:rPr>
            <m:t>49.6</m:t>
          </m:r>
          <m:r>
            <m:rPr>
              <m:sty m:val="p"/>
            </m:rPr>
            <w:rPr>
              <w:rFonts w:ascii="Cambria Math" w:hAnsi="Cambria Math" w:cs="Times New Roman"/>
            </w:rPr>
            <m:t>%</m:t>
          </m:r>
        </m:oMath>
      </m:oMathPara>
    </w:p>
    <w:p w:rsidR="00EC1AEE" w:rsidRPr="00B406D8" w:rsidRDefault="00EC1AEE" w:rsidP="00B406D8">
      <w:pPr>
        <w:spacing w:after="0" w:line="480" w:lineRule="auto"/>
        <w:rPr>
          <w:rFonts w:ascii="Times New Roman" w:hAnsi="Times New Roman" w:cs="Times New Roman"/>
        </w:rPr>
      </w:pPr>
    </w:p>
    <w:p w:rsidR="00EC1AEE" w:rsidRDefault="0029256E">
      <w:pPr>
        <w:pStyle w:val="FirstParagraph"/>
      </w:pPr>
      <w:r>
        <w:rPr>
          <w:noProof/>
          <w:lang w:eastAsia="ko-KR"/>
        </w:rPr>
        <w:drawing>
          <wp:inline distT="0" distB="0" distL="0" distR="0" wp14:anchorId="76F65106" wp14:editId="628F390B">
            <wp:extent cx="5437632" cy="579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_publication.tiff"/>
                    <pic:cNvPicPr/>
                  </pic:nvPicPr>
                  <pic:blipFill>
                    <a:blip r:embed="rId9">
                      <a:extLst>
                        <a:ext uri="{28A0092B-C50C-407E-A947-70E740481C1C}">
                          <a14:useLocalDpi xmlns:a14="http://schemas.microsoft.com/office/drawing/2010/main" val="0"/>
                        </a:ext>
                      </a:extLst>
                    </a:blip>
                    <a:stretch>
                      <a:fillRect/>
                    </a:stretch>
                  </pic:blipFill>
                  <pic:spPr>
                    <a:xfrm>
                      <a:off x="0" y="0"/>
                      <a:ext cx="5437632" cy="5791200"/>
                    </a:xfrm>
                    <a:prstGeom prst="rect">
                      <a:avLst/>
                    </a:prstGeom>
                  </pic:spPr>
                </pic:pic>
              </a:graphicData>
            </a:graphic>
          </wp:inline>
        </w:drawing>
      </w:r>
    </w:p>
    <w:p w:rsidR="00EC1AEE" w:rsidRPr="00B406D8" w:rsidRDefault="00B406D8" w:rsidP="004A1DFF">
      <w:pPr>
        <w:pStyle w:val="BodyText"/>
        <w:spacing w:before="0" w:after="0" w:line="480" w:lineRule="auto"/>
        <w:rPr>
          <w:rFonts w:ascii="Times New Roman" w:hAnsi="Times New Roman" w:cs="Times New Roman"/>
        </w:rPr>
      </w:pPr>
      <w:r>
        <w:rPr>
          <w:rFonts w:ascii="Times New Roman" w:hAnsi="Times New Roman" w:cs="Times New Roman"/>
          <w:b/>
          <w:bCs/>
        </w:rPr>
        <w:t>Fig. 2. Compositional differences between host range classes.</w:t>
      </w:r>
      <w:r>
        <w:rPr>
          <w:rFonts w:ascii="Times New Roman" w:hAnsi="Times New Roman" w:cs="Times New Roman"/>
        </w:rPr>
        <w:t xml:space="preserve"> (A) GC content and genome length distributions for dual-host (red) and ISFV (blue) genomes. ISFVs show higher GC content </w:t>
      </w:r>
      <w:r>
        <w:rPr>
          <w:rFonts w:ascii="Times New Roman" w:hAnsi="Times New Roman" w:cs="Times New Roman"/>
        </w:rPr>
        <w:lastRenderedPageBreak/>
        <w:t>(</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Pr>
          <w:rFonts w:ascii="Times New Roman" w:hAnsi="Times New Roman" w:cs="Times New Roman"/>
        </w:rPr>
        <w:t xml:space="preserv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2.79</m:t>
        </m:r>
      </m:oMath>
      <w:r>
        <w:rPr>
          <w:rFonts w:ascii="Times New Roman" w:hAnsi="Times New Roman" w:cs="Times New Roman"/>
        </w:rPr>
        <w:t xml:space="preserve">). (B) CpG and UpA O/E ratio distributions. Dual-host flaviviruses exhibit strong CpG suppression (O/E = 0.43) while ISFVs show relaxed suppression (O/E = 0.86;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9.87</m:t>
        </m:r>
      </m:oMath>
      <w:r>
        <w:rPr>
          <w:rFonts w:ascii="Times New Roman" w:hAnsi="Times New Roman" w:cs="Times New Roman"/>
        </w:rPr>
        <w:t>). Dashed lines indicate O/E = 1.0. (C) Heatmap of mean dinucleotide O/E ratios by host range class. CpG shows the largest difference (</w:t>
      </w:r>
      <m:oMath>
        <m:r>
          <w:rPr>
            <w:rFonts w:ascii="Cambria Math" w:hAnsi="Cambria Math" w:cs="Times New Roman"/>
          </w:rPr>
          <m:t>Δ</m:t>
        </m:r>
        <m:r>
          <m:rPr>
            <m:sty m:val="p"/>
          </m:rPr>
          <w:rPr>
            <w:rFonts w:ascii="Cambria Math" w:hAnsi="Cambria Math" w:cs="Times New Roman"/>
          </w:rPr>
          <m:t>=</m:t>
        </m:r>
        <m:r>
          <w:rPr>
            <w:rFonts w:ascii="Cambria Math" w:hAnsi="Cambria Math" w:cs="Times New Roman"/>
          </w:rPr>
          <m:t>0.43</m:t>
        </m:r>
      </m:oMath>
      <w:r>
        <w:rPr>
          <w:rFonts w:ascii="Times New Roman" w:hAnsi="Times New Roman" w:cs="Times New Roman"/>
        </w:rPr>
        <w:t xml:space="preserve">). (D) PCA of RSCU features. PC1 and PC2 explain 49.6% of variance. Statistical significance: Mann-Whitney </w:t>
      </w:r>
      <m:oMath>
        <m:r>
          <w:rPr>
            <w:rFonts w:ascii="Cambria Math" w:hAnsi="Cambria Math" w:cs="Times New Roman"/>
          </w:rPr>
          <m:t>U</m:t>
        </m:r>
      </m:oMath>
      <w:r>
        <w:rPr>
          <w:rFonts w:ascii="Times New Roman" w:hAnsi="Times New Roman" w:cs="Times New Roman"/>
        </w:rPr>
        <w:t xml:space="preserve"> test; </w:t>
      </w:r>
      <m:oMath>
        <m:sSup>
          <m:sSupPr>
            <m:ctrlPr>
              <w:rPr>
                <w:rFonts w:ascii="Cambria Math" w:hAnsi="Cambria Math" w:cs="Times New Roman"/>
              </w:rPr>
            </m:ctrlPr>
          </m:sSupPr>
          <m:e>
            <m:r>
              <w:rPr>
                <w:rFonts w:ascii="Cambria Math" w:hAnsi="Cambria Math" w:cs="Times New Roman"/>
              </w:rPr>
              <m:t>​</m:t>
            </m:r>
          </m:e>
          <m:sup>
            <m:r>
              <m:rPr>
                <m:sty m:val="p"/>
              </m:rPr>
              <w:rPr>
                <w:rFonts w:ascii="Cambria Math" w:hAnsi="Cambria Math" w:cs="Times New Roman"/>
              </w:rPr>
              <m:t>***</m:t>
            </m:r>
          </m:sup>
        </m:sSup>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Pr>
          <w:rFonts w:ascii="Times New Roman" w:hAnsi="Times New Roman" w:cs="Times New Roman"/>
        </w:rPr>
        <w:t>.</w:t>
      </w:r>
    </w:p>
    <w:p w:rsidR="00EC1AEE" w:rsidRPr="00B406D8" w:rsidRDefault="00B406D8" w:rsidP="00B406D8">
      <w:pPr>
        <w:pStyle w:val="Heading3"/>
        <w:spacing w:before="0" w:line="480" w:lineRule="auto"/>
        <w:rPr>
          <w:rFonts w:ascii="Times New Roman" w:hAnsi="Times New Roman" w:cs="Times New Roman"/>
        </w:rPr>
      </w:pPr>
      <w:bookmarkStart w:id="18" w:name="Xe01ebdcd723a883ded4dfa92e2d711d01c69e57"/>
      <w:bookmarkEnd w:id="17"/>
      <w:r>
        <w:rPr>
          <w:rFonts w:ascii="Times New Roman" w:hAnsi="Times New Roman" w:cs="Times New Roman"/>
        </w:rPr>
        <w:t>Genome composition accurately discriminates ISFV from dual-host flaviviruses</w:t>
      </w:r>
    </w:p>
    <w:p w:rsidR="00EC1AEE" w:rsidRPr="00B406D8" w:rsidRDefault="00B406D8" w:rsidP="00B406D8">
      <w:pPr>
        <w:pStyle w:val="FirstParagraph"/>
        <w:spacing w:before="0" w:after="0" w:line="480" w:lineRule="auto"/>
        <w:rPr>
          <w:rFonts w:ascii="Times New Roman" w:hAnsi="Times New Roman" w:cs="Times New Roman"/>
        </w:rPr>
      </w:pPr>
      <w:r>
        <w:rPr>
          <w:rFonts w:ascii="Times New Roman" w:hAnsi="Times New Roman" w:cs="Times New Roman"/>
        </w:rPr>
        <w:t>Classification performance was evaluated on the held-out test set of 120 genomes from 11 species (Fig. 3, Table 1). Logistic regression achieved PR-AUC of 1.000 (Fig. 3A) and ROC-AUC of 1.000 (Fig. 3B), with balanced accuracy of 0.941 and MCC of 0.930. Random forest achieved PR-AUC of 0.969 and ROC-AUC of 0.993, with identical balanced accuracy and MCC.</w:t>
      </w:r>
    </w:p>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rPr>
        <w:t>Both classifiers substantially exceeded the random baseline:</w:t>
      </w:r>
    </w:p>
    <w:p w:rsidR="00EC1AEE" w:rsidRPr="00B406D8" w:rsidRDefault="00A32DF8" w:rsidP="00B406D8">
      <w:pPr>
        <w:pStyle w:val="BodyText"/>
        <w:spacing w:before="0" w:after="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PR-AUC</m:t>
              </m:r>
            </m:e>
            <m:sub>
              <m:r>
                <m:rPr>
                  <m:nor/>
                </m:rPr>
                <w:rPr>
                  <w:rFonts w:ascii="Times New Roman" w:hAnsi="Times New Roman" w:cs="Times New Roman"/>
                </w:rPr>
                <m:t>random</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17</m:t>
              </m:r>
            </m:num>
            <m:den>
              <m:r>
                <w:rPr>
                  <w:rFonts w:ascii="Cambria Math" w:hAnsi="Cambria Math" w:cs="Times New Roman"/>
                </w:rPr>
                <m:t>120</m:t>
              </m:r>
            </m:den>
          </m:f>
          <m:r>
            <m:rPr>
              <m:sty m:val="p"/>
            </m:rPr>
            <w:rPr>
              <w:rFonts w:ascii="Cambria Math" w:hAnsi="Cambria Math" w:cs="Times New Roman"/>
            </w:rPr>
            <m:t>=</m:t>
          </m:r>
          <m:r>
            <w:rPr>
              <w:rFonts w:ascii="Cambria Math" w:hAnsi="Cambria Math" w:cs="Times New Roman"/>
            </w:rPr>
            <m:t>0.142</m:t>
          </m:r>
        </m:oMath>
      </m:oMathPara>
    </w:p>
    <w:p w:rsidR="00EC1AEE" w:rsidRPr="00B406D8" w:rsidRDefault="00B406D8" w:rsidP="00B406D8">
      <w:pPr>
        <w:pStyle w:val="FirstParagraph"/>
        <w:spacing w:before="0" w:after="0" w:line="480" w:lineRule="auto"/>
        <w:rPr>
          <w:rFonts w:ascii="Times New Roman" w:hAnsi="Times New Roman" w:cs="Times New Roman"/>
        </w:rPr>
      </w:pPr>
      <w:r>
        <w:rPr>
          <w:rFonts w:ascii="Times New Roman" w:hAnsi="Times New Roman" w:cs="Times New Roman"/>
        </w:rPr>
        <w:t xml:space="preserve">The confusion matrix (Fig. 3C) revealed 15/17 ISFV genomes correctly classified (sensitivity = 88.2%) and 103/103 dual-host genomes correctly classified (specificity = 100%). </w:t>
      </w:r>
      <w:r w:rsidR="008D2660" w:rsidRPr="008D2660">
        <w:rPr>
          <w:rFonts w:ascii="Times New Roman" w:hAnsi="Times New Roman" w:cs="Times New Roman"/>
        </w:rPr>
        <w:t>The two misclassified ISFV genomes both belonged to Chaoyang virus, which exhibited an atypical compositional profile resembling dual-host flaviviruses. No dual-host genomes were misclassified as ISFV (precision = 100%)</w:t>
      </w:r>
    </w:p>
    <w:p w:rsidR="00EC1AEE" w:rsidRDefault="00EC1AEE"/>
    <w:p w:rsidR="00EC1AEE" w:rsidRDefault="0029256E">
      <w:pPr>
        <w:pStyle w:val="FirstParagraph"/>
      </w:pPr>
      <w:r>
        <w:rPr>
          <w:noProof/>
          <w:lang w:eastAsia="ko-KR"/>
        </w:rPr>
        <w:lastRenderedPageBreak/>
        <w:drawing>
          <wp:inline distT="0" distB="0" distL="0" distR="0" wp14:anchorId="2B8C45C5" wp14:editId="3F5D6A30">
            <wp:extent cx="5385816" cy="2624328"/>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_publication.tiff"/>
                    <pic:cNvPicPr/>
                  </pic:nvPicPr>
                  <pic:blipFill>
                    <a:blip r:embed="rId10">
                      <a:extLst>
                        <a:ext uri="{28A0092B-C50C-407E-A947-70E740481C1C}">
                          <a14:useLocalDpi xmlns:a14="http://schemas.microsoft.com/office/drawing/2010/main" val="0"/>
                        </a:ext>
                      </a:extLst>
                    </a:blip>
                    <a:stretch>
                      <a:fillRect/>
                    </a:stretch>
                  </pic:blipFill>
                  <pic:spPr>
                    <a:xfrm>
                      <a:off x="0" y="0"/>
                      <a:ext cx="5385816" cy="2624328"/>
                    </a:xfrm>
                    <a:prstGeom prst="rect">
                      <a:avLst/>
                    </a:prstGeom>
                  </pic:spPr>
                </pic:pic>
              </a:graphicData>
            </a:graphic>
          </wp:inline>
        </w:drawing>
      </w:r>
    </w:p>
    <w:p w:rsidR="00C313B6"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b/>
          <w:bCs/>
        </w:rPr>
        <w:t>Fig. 3. Classification performance.</w:t>
      </w:r>
      <w:r>
        <w:rPr>
          <w:rFonts w:ascii="Times New Roman" w:hAnsi="Times New Roman" w:cs="Times New Roman"/>
        </w:rPr>
        <w:t xml:space="preserve"> Species-stratified evaluation on 120 genomes from 11 species (17 ISFV from 3 species; 103 dual-host from 8 species). (A) Precision-recall curves for ISFV detection. Dashed line: random baseline (0.142). Logistic regression PR-AUC = 1.000; random forest PR-AUC = 0.969. (B) ROC curves. Logistic regression ROC-AUC = 1.000; random forest ROC-AUC = 0.993. (C) Confusion matrix for logistic regression (threshold = 0.5). The classifier identified 15/17 ISFVs (88.2% sensitivity) and 103/103 dual-host viruses (100% specificity).</w:t>
      </w:r>
    </w:p>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b/>
          <w:bCs/>
        </w:rPr>
        <w:t>Table 1. Classification performance on held-out test set</w:t>
      </w:r>
    </w:p>
    <w:tbl>
      <w:tblPr>
        <w:tblStyle w:val="Table"/>
        <w:tblW w:w="0" w:type="auto"/>
        <w:tblLook w:val="0020" w:firstRow="1" w:lastRow="0" w:firstColumn="0" w:lastColumn="0" w:noHBand="0" w:noVBand="0"/>
      </w:tblPr>
      <w:tblGrid>
        <w:gridCol w:w="2089"/>
        <w:gridCol w:w="2130"/>
        <w:gridCol w:w="1690"/>
      </w:tblGrid>
      <w:tr w:rsidR="00EC1AEE" w:rsidRPr="00B406D8" w:rsidTr="00EC1AEE">
        <w:trPr>
          <w:cnfStyle w:val="100000000000" w:firstRow="1" w:lastRow="0" w:firstColumn="0" w:lastColumn="0" w:oddVBand="0" w:evenVBand="0" w:oddHBand="0" w:evenHBand="0" w:firstRowFirstColumn="0" w:firstRowLastColumn="0" w:lastRowFirstColumn="0" w:lastRowLastColumn="0"/>
          <w:tblHeader/>
        </w:trPr>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Metric</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Logistic Regression</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Random Forest</w:t>
            </w:r>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PR-AUC (ISFV)</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1.000</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0.969</w:t>
            </w:r>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ROC-AUC</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1.000</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0.993</w:t>
            </w:r>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Balanced Accuracy</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0.941</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0.941</w:t>
            </w:r>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MCC</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0.930</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0.930</w:t>
            </w:r>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Sensitivity</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0.882</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0.882</w:t>
            </w:r>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Specificity</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1.000</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1.000</w:t>
            </w:r>
          </w:p>
        </w:tc>
      </w:tr>
    </w:tbl>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rPr>
        <w:lastRenderedPageBreak/>
        <w:t>Test set: 120 genomes from 11 species. Random baseline PR-AUC = 0.142.</w:t>
      </w:r>
    </w:p>
    <w:p w:rsidR="00EC1AEE" w:rsidRPr="00B406D8" w:rsidRDefault="00B406D8" w:rsidP="00464497">
      <w:pPr>
        <w:pStyle w:val="Heading3"/>
        <w:spacing w:before="0" w:after="140" w:line="480" w:lineRule="auto"/>
        <w:rPr>
          <w:rFonts w:ascii="Times New Roman" w:hAnsi="Times New Roman" w:cs="Times New Roman"/>
        </w:rPr>
      </w:pPr>
      <w:bookmarkStart w:id="19" w:name="Xdfc9dc398677dbb886e6a68837996e8ad718459"/>
      <w:bookmarkEnd w:id="18"/>
      <w:r>
        <w:rPr>
          <w:rFonts w:ascii="Times New Roman" w:hAnsi="Times New Roman" w:cs="Times New Roman"/>
        </w:rPr>
        <w:t>Dinucleotide features are sufficient for accurate classification</w:t>
      </w:r>
    </w:p>
    <w:p w:rsidR="00EC1AEE" w:rsidRPr="00B406D8" w:rsidRDefault="00B406D8" w:rsidP="00464497">
      <w:pPr>
        <w:pStyle w:val="FirstParagraph"/>
        <w:spacing w:before="0" w:after="140" w:line="480" w:lineRule="auto"/>
        <w:rPr>
          <w:rFonts w:ascii="Times New Roman" w:hAnsi="Times New Roman" w:cs="Times New Roman"/>
        </w:rPr>
      </w:pPr>
      <w:r>
        <w:rPr>
          <w:rFonts w:ascii="Times New Roman" w:hAnsi="Times New Roman" w:cs="Times New Roman"/>
        </w:rPr>
        <w:t>Feature ablation revealed a hierarchy of discriminative power (Fig. 4A). Compositional features alone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2</m:t>
        </m:r>
      </m:oMath>
      <w:r>
        <w:rPr>
          <w:rFonts w:ascii="Times New Roman" w:hAnsi="Times New Roman" w:cs="Times New Roman"/>
        </w:rPr>
        <w:t>) performed poorly (PR-AUC: logistic regression = 0.265, random forest = 0.398). RSCU features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61</m:t>
        </m:r>
      </m:oMath>
      <w:r>
        <w:rPr>
          <w:rFonts w:ascii="Times New Roman" w:hAnsi="Times New Roman" w:cs="Times New Roman"/>
        </w:rPr>
        <w:t>) achieved intermediate performance (PR-AUC: 0.903, 0.957). Dinucleotide features alone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34</m:t>
        </m:r>
      </m:oMath>
      <w:r>
        <w:rPr>
          <w:rFonts w:ascii="Times New Roman" w:hAnsi="Times New Roman" w:cs="Times New Roman"/>
        </w:rPr>
        <w:t>) achieved perfect classification:</w:t>
      </w:r>
    </w:p>
    <w:p w:rsidR="00EC1AEE" w:rsidRPr="00B406D8" w:rsidRDefault="00A32DF8" w:rsidP="00464497">
      <w:pPr>
        <w:pStyle w:val="BodyText"/>
        <w:spacing w:before="0" w:after="14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PR-AUC</m:t>
              </m:r>
            </m:e>
            <m:sub>
              <m:r>
                <m:rPr>
                  <m:nor/>
                </m:rPr>
                <w:rPr>
                  <w:rFonts w:ascii="Times New Roman" w:hAnsi="Times New Roman" w:cs="Times New Roman"/>
                </w:rPr>
                <m:t>dinucleotide</m:t>
              </m:r>
            </m:sub>
          </m:sSub>
          <m:r>
            <m:rPr>
              <m:sty m:val="p"/>
            </m:rPr>
            <w:rPr>
              <w:rFonts w:ascii="Cambria Math" w:hAnsi="Cambria Math" w:cs="Times New Roman"/>
            </w:rPr>
            <m:t>=</m:t>
          </m:r>
          <m:r>
            <w:rPr>
              <w:rFonts w:ascii="Cambria Math" w:hAnsi="Cambria Math" w:cs="Times New Roman"/>
            </w:rPr>
            <m:t>1.000</m:t>
          </m:r>
          <m:r>
            <m:rPr>
              <m:nor/>
            </m:rPr>
            <w:rPr>
              <w:rFonts w:ascii="Times New Roman" w:hAnsi="Times New Roman" w:cs="Times New Roman"/>
            </w:rPr>
            <m:t xml:space="preserve"> (both classifiers)</m:t>
          </m:r>
        </m:oMath>
      </m:oMathPara>
    </w:p>
    <w:p w:rsidR="00EC1AEE" w:rsidRPr="00B406D8" w:rsidRDefault="00B406D8" w:rsidP="00464497">
      <w:pPr>
        <w:pStyle w:val="FirstParagraph"/>
        <w:spacing w:before="0" w:after="140" w:line="480" w:lineRule="auto"/>
        <w:rPr>
          <w:rFonts w:ascii="Times New Roman" w:hAnsi="Times New Roman" w:cs="Times New Roman"/>
        </w:rPr>
      </w:pPr>
      <w:r>
        <w:rPr>
          <w:rFonts w:ascii="Times New Roman" w:hAnsi="Times New Roman" w:cs="Times New Roman"/>
        </w:rPr>
        <w:t>The combined feature set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97</m:t>
        </m:r>
      </m:oMath>
      <w:r>
        <w:rPr>
          <w:rFonts w:ascii="Times New Roman" w:hAnsi="Times New Roman" w:cs="Times New Roman"/>
        </w:rPr>
        <w:t>) achieved PR-AUC of 0.947 (logistic regression) and 1.000 (random forest).</w:t>
      </w:r>
    </w:p>
    <w:p w:rsidR="00EC1AEE" w:rsidRPr="00B406D8" w:rsidRDefault="00B406D8" w:rsidP="00464497">
      <w:pPr>
        <w:pStyle w:val="Heading3"/>
        <w:spacing w:before="0" w:after="140" w:line="480" w:lineRule="auto"/>
        <w:rPr>
          <w:rFonts w:ascii="Times New Roman" w:hAnsi="Times New Roman" w:cs="Times New Roman"/>
        </w:rPr>
      </w:pPr>
      <w:bookmarkStart w:id="20" w:name="Xae3d1313000dbed930888409352ed310a0068de"/>
      <w:bookmarkEnd w:id="19"/>
      <w:r>
        <w:rPr>
          <w:rFonts w:ascii="Times New Roman" w:hAnsi="Times New Roman" w:cs="Times New Roman"/>
        </w:rPr>
        <w:t>Classification is robust to genome length removal</w:t>
      </w:r>
    </w:p>
    <w:p w:rsidR="00EC1AEE" w:rsidRPr="00B406D8" w:rsidRDefault="00B406D8" w:rsidP="00464497">
      <w:pPr>
        <w:pStyle w:val="FirstParagraph"/>
        <w:spacing w:before="0" w:after="140" w:line="480" w:lineRule="auto"/>
        <w:rPr>
          <w:rFonts w:ascii="Times New Roman" w:hAnsi="Times New Roman" w:cs="Times New Roman"/>
        </w:rPr>
      </w:pPr>
      <w:r>
        <w:rPr>
          <w:rFonts w:ascii="Times New Roman" w:hAnsi="Times New Roman" w:cs="Times New Roman"/>
        </w:rPr>
        <w:t>Removing genome length resulted in minimal performance change (Fig. 4B). PR-AUC decreased from 0.947 to 0.924 (logistic regression) and from 1.000 to 0.972 (random forest). Balanced accuracy remained stable (logistic regression: 0.883 to 0.888; random forest: 0.941 unchanged).</w:t>
      </w:r>
    </w:p>
    <w:p w:rsidR="00EC1AEE" w:rsidRPr="00B406D8" w:rsidRDefault="00B406D8" w:rsidP="00464497">
      <w:pPr>
        <w:pStyle w:val="Heading3"/>
        <w:spacing w:before="0" w:after="140" w:line="480" w:lineRule="auto"/>
        <w:rPr>
          <w:rFonts w:ascii="Times New Roman" w:hAnsi="Times New Roman" w:cs="Times New Roman"/>
        </w:rPr>
      </w:pPr>
      <w:bookmarkStart w:id="21" w:name="Xef8ec54b241522dbcc9479b173df7d773205b80"/>
      <w:bookmarkEnd w:id="20"/>
      <w:r>
        <w:rPr>
          <w:rFonts w:ascii="Times New Roman" w:hAnsi="Times New Roman" w:cs="Times New Roman"/>
        </w:rPr>
        <w:t>Cross-validation demonstrates robust performance</w:t>
      </w:r>
    </w:p>
    <w:p w:rsidR="00C313B6" w:rsidRPr="00B406D8" w:rsidRDefault="00B406D8" w:rsidP="00464497">
      <w:pPr>
        <w:pStyle w:val="FirstParagraph"/>
        <w:spacing w:before="0" w:after="140" w:line="480" w:lineRule="auto"/>
        <w:rPr>
          <w:rFonts w:ascii="Times New Roman" w:hAnsi="Times New Roman" w:cs="Times New Roman"/>
        </w:rPr>
      </w:pPr>
      <w:r>
        <w:rPr>
          <w:rFonts w:ascii="Times New Roman" w:hAnsi="Times New Roman" w:cs="Times New Roman"/>
        </w:rPr>
        <w:t xml:space="preserve">Five-fold species-stratified cross-validation (Fig. 4C) yielded mean PR-AUC of </w:t>
      </w:r>
      <m:oMath>
        <m:r>
          <w:rPr>
            <w:rFonts w:ascii="Cambria Math" w:hAnsi="Cambria Math" w:cs="Times New Roman"/>
          </w:rPr>
          <m:t>0.952</m:t>
        </m:r>
        <m:r>
          <m:rPr>
            <m:sty m:val="p"/>
          </m:rPr>
          <w:rPr>
            <w:rFonts w:ascii="Cambria Math" w:hAnsi="Cambria Math" w:cs="Times New Roman"/>
          </w:rPr>
          <m:t>±</m:t>
        </m:r>
        <m:r>
          <w:rPr>
            <w:rFonts w:ascii="Cambria Math" w:hAnsi="Cambria Math" w:cs="Times New Roman"/>
          </w:rPr>
          <m:t>0.060</m:t>
        </m:r>
      </m:oMath>
      <w:r>
        <w:rPr>
          <w:rFonts w:ascii="Times New Roman" w:hAnsi="Times New Roman" w:cs="Times New Roman"/>
        </w:rPr>
        <w:t xml:space="preserve"> (logistic regression) and </w:t>
      </w:r>
      <m:oMath>
        <m:r>
          <w:rPr>
            <w:rFonts w:ascii="Cambria Math" w:hAnsi="Cambria Math" w:cs="Times New Roman"/>
          </w:rPr>
          <m:t>0.981</m:t>
        </m:r>
        <m:r>
          <m:rPr>
            <m:sty m:val="p"/>
          </m:rPr>
          <w:rPr>
            <w:rFonts w:ascii="Cambria Math" w:hAnsi="Cambria Math" w:cs="Times New Roman"/>
          </w:rPr>
          <m:t>±</m:t>
        </m:r>
        <m:r>
          <w:rPr>
            <w:rFonts w:ascii="Cambria Math" w:hAnsi="Cambria Math" w:cs="Times New Roman"/>
          </w:rPr>
          <m:t>0.029</m:t>
        </m:r>
      </m:oMath>
      <w:r>
        <w:rPr>
          <w:rFonts w:ascii="Times New Roman" w:hAnsi="Times New Roman" w:cs="Times New Roman"/>
        </w:rPr>
        <w:t xml:space="preserve"> (random forest). Mean ROC-AUC was </w:t>
      </w:r>
      <m:oMath>
        <m:r>
          <w:rPr>
            <w:rFonts w:ascii="Cambria Math" w:hAnsi="Cambria Math" w:cs="Times New Roman"/>
          </w:rPr>
          <m:t>0.994</m:t>
        </m:r>
        <m:r>
          <m:rPr>
            <m:sty m:val="p"/>
          </m:rPr>
          <w:rPr>
            <w:rFonts w:ascii="Cambria Math" w:hAnsi="Cambria Math" w:cs="Times New Roman"/>
          </w:rPr>
          <m:t>±</m:t>
        </m:r>
        <m:r>
          <w:rPr>
            <w:rFonts w:ascii="Cambria Math" w:hAnsi="Cambria Math" w:cs="Times New Roman"/>
          </w:rPr>
          <m:t>0.007</m:t>
        </m:r>
      </m:oMath>
      <w:r>
        <w:rPr>
          <w:rFonts w:ascii="Times New Roman" w:hAnsi="Times New Roman" w:cs="Times New Roman"/>
        </w:rPr>
        <w:t xml:space="preserve"> and </w:t>
      </w:r>
      <m:oMath>
        <m:r>
          <w:rPr>
            <w:rFonts w:ascii="Cambria Math" w:hAnsi="Cambria Math" w:cs="Times New Roman"/>
          </w:rPr>
          <m:t>0.996</m:t>
        </m:r>
        <m:r>
          <m:rPr>
            <m:sty m:val="p"/>
          </m:rPr>
          <w:rPr>
            <w:rFonts w:ascii="Cambria Math" w:hAnsi="Cambria Math" w:cs="Times New Roman"/>
          </w:rPr>
          <m:t>±</m:t>
        </m:r>
        <m:r>
          <w:rPr>
            <w:rFonts w:ascii="Cambria Math" w:hAnsi="Cambria Math" w:cs="Times New Roman"/>
          </w:rPr>
          <m:t>0.005</m:t>
        </m:r>
      </m:oMath>
      <w:r>
        <w:rPr>
          <w:rFonts w:ascii="Times New Roman" w:hAnsi="Times New Roman" w:cs="Times New Roman"/>
        </w:rPr>
        <w:t xml:space="preserve">, respectively. Wilcoxon signed-rank tests revealed no significant differences between classifiers (PR-AUC: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0.438</m:t>
        </m:r>
      </m:oMath>
      <w:r>
        <w:rPr>
          <w:rFonts w:ascii="Times New Roman" w:hAnsi="Times New Roman" w:cs="Times New Roman"/>
        </w:rPr>
        <w:t xml:space="preserve">; ROC-AUC: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0.438</m:t>
        </m:r>
      </m:oMath>
      <w:r>
        <w:rPr>
          <w:rFonts w:ascii="Times New Roman" w:hAnsi="Times New Roman" w:cs="Times New Roman"/>
        </w:rPr>
        <w:t xml:space="preserve">; balanced accuracy: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0.250</m:t>
        </m:r>
      </m:oMath>
      <w:r>
        <w:rPr>
          <w:rFonts w:ascii="Times New Roman" w:hAnsi="Times New Roman" w:cs="Times New Roman"/>
        </w:rPr>
        <w:t xml:space="preserve">; MCC: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0.250</m:t>
        </m:r>
      </m:oMath>
      <w:r>
        <w:rPr>
          <w:rFonts w:ascii="Times New Roman" w:hAnsi="Times New Roman" w:cs="Times New Roman"/>
        </w:rPr>
        <w:t>).</w:t>
      </w:r>
    </w:p>
    <w:p w:rsidR="00EC1AEE" w:rsidRPr="00B406D8" w:rsidRDefault="00B406D8" w:rsidP="00464497">
      <w:pPr>
        <w:pStyle w:val="Heading3"/>
        <w:spacing w:before="0" w:after="140" w:line="480" w:lineRule="auto"/>
        <w:rPr>
          <w:rFonts w:ascii="Times New Roman" w:hAnsi="Times New Roman" w:cs="Times New Roman"/>
        </w:rPr>
      </w:pPr>
      <w:bookmarkStart w:id="22" w:name="X3871999ba6254a7d06ba326fdfabb86874a4a56"/>
      <w:bookmarkEnd w:id="21"/>
      <w:r>
        <w:rPr>
          <w:rFonts w:ascii="Times New Roman" w:hAnsi="Times New Roman" w:cs="Times New Roman"/>
        </w:rPr>
        <w:lastRenderedPageBreak/>
        <w:t>Leave-one-species-out analysis identifies challenging lineages</w:t>
      </w:r>
    </w:p>
    <w:p w:rsidR="00EC1AEE" w:rsidRPr="00B406D8" w:rsidRDefault="00B406D8" w:rsidP="00464497">
      <w:pPr>
        <w:pStyle w:val="FirstParagraph"/>
        <w:spacing w:before="0" w:after="140" w:line="480" w:lineRule="auto"/>
        <w:rPr>
          <w:rFonts w:ascii="Times New Roman" w:hAnsi="Times New Roman" w:cs="Times New Roman"/>
        </w:rPr>
      </w:pPr>
      <w:r>
        <w:rPr>
          <w:rFonts w:ascii="Times New Roman" w:hAnsi="Times New Roman" w:cs="Times New Roman"/>
        </w:rPr>
        <w:t>LOSO-CV correctly classified 20/24 ISFV species (83.3%) and 99/107 ISFV genomes (92.5%) (Fig. 4D). Four species were misclassified:</w:t>
      </w:r>
    </w:p>
    <w:p w:rsidR="00EC1AEE" w:rsidRPr="00B406D8" w:rsidRDefault="00B406D8" w:rsidP="00464497">
      <w:pPr>
        <w:pStyle w:val="Compact"/>
        <w:numPr>
          <w:ilvl w:val="0"/>
          <w:numId w:val="2"/>
        </w:numPr>
        <w:spacing w:before="0" w:after="140" w:line="480" w:lineRule="auto"/>
        <w:rPr>
          <w:rFonts w:ascii="Times New Roman" w:hAnsi="Times New Roman" w:cs="Times New Roman"/>
        </w:rPr>
      </w:pPr>
      <w:r>
        <w:rPr>
          <w:rFonts w:ascii="Times New Roman" w:hAnsi="Times New Roman" w:cs="Times New Roman"/>
        </w:rPr>
        <w:t xml:space="preserve">T’Ho virus: </w:t>
      </w:r>
      <m:oMath>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dual-host</m:t>
            </m:r>
          </m:e>
        </m:d>
        <m:r>
          <m:rPr>
            <m:sty m:val="p"/>
          </m:rPr>
          <w:rPr>
            <w:rFonts w:ascii="Cambria Math" w:hAnsi="Cambria Math" w:cs="Times New Roman"/>
          </w:rPr>
          <m:t>=</m:t>
        </m:r>
        <m:r>
          <w:rPr>
            <w:rFonts w:ascii="Cambria Math" w:hAnsi="Cambria Math" w:cs="Times New Roman"/>
          </w:rPr>
          <m:t>1.000</m:t>
        </m:r>
      </m:oMath>
    </w:p>
    <w:p w:rsidR="00EC1AEE" w:rsidRPr="00B406D8" w:rsidRDefault="00B406D8" w:rsidP="00464497">
      <w:pPr>
        <w:pStyle w:val="Compact"/>
        <w:numPr>
          <w:ilvl w:val="0"/>
          <w:numId w:val="2"/>
        </w:numPr>
        <w:spacing w:before="0" w:after="140" w:line="480" w:lineRule="auto"/>
        <w:rPr>
          <w:rFonts w:ascii="Times New Roman" w:hAnsi="Times New Roman" w:cs="Times New Roman"/>
        </w:rPr>
      </w:pPr>
      <w:r>
        <w:rPr>
          <w:rFonts w:ascii="Times New Roman" w:hAnsi="Times New Roman" w:cs="Times New Roman"/>
        </w:rPr>
        <w:t xml:space="preserve">Kampung Karu virus: </w:t>
      </w:r>
      <m:oMath>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dual-host</m:t>
            </m:r>
          </m:e>
        </m:d>
        <m:r>
          <m:rPr>
            <m:sty m:val="p"/>
          </m:rPr>
          <w:rPr>
            <w:rFonts w:ascii="Cambria Math" w:hAnsi="Cambria Math" w:cs="Times New Roman"/>
          </w:rPr>
          <m:t>=</m:t>
        </m:r>
        <m:r>
          <w:rPr>
            <w:rFonts w:ascii="Cambria Math" w:hAnsi="Cambria Math" w:cs="Times New Roman"/>
          </w:rPr>
          <m:t>1.000</m:t>
        </m:r>
      </m:oMath>
    </w:p>
    <w:p w:rsidR="00EC1AEE" w:rsidRPr="00B406D8" w:rsidRDefault="00B406D8" w:rsidP="00464497">
      <w:pPr>
        <w:pStyle w:val="Compact"/>
        <w:numPr>
          <w:ilvl w:val="0"/>
          <w:numId w:val="2"/>
        </w:numPr>
        <w:spacing w:before="0" w:after="140" w:line="480" w:lineRule="auto"/>
        <w:rPr>
          <w:rFonts w:ascii="Times New Roman" w:hAnsi="Times New Roman" w:cs="Times New Roman"/>
        </w:rPr>
      </w:pPr>
      <w:r>
        <w:rPr>
          <w:rFonts w:ascii="Times New Roman" w:hAnsi="Times New Roman" w:cs="Times New Roman"/>
        </w:rPr>
        <w:t xml:space="preserve">Chaoyang virus: </w:t>
      </w:r>
      <m:oMath>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dual-host</m:t>
            </m:r>
          </m:e>
        </m:d>
        <m:r>
          <m:rPr>
            <m:sty m:val="p"/>
          </m:rPr>
          <w:rPr>
            <w:rFonts w:ascii="Cambria Math" w:hAnsi="Cambria Math" w:cs="Times New Roman"/>
          </w:rPr>
          <m:t>=</m:t>
        </m:r>
        <m:r>
          <w:rPr>
            <w:rFonts w:ascii="Cambria Math" w:hAnsi="Cambria Math" w:cs="Times New Roman"/>
          </w:rPr>
          <m:t>0.726</m:t>
        </m:r>
      </m:oMath>
    </w:p>
    <w:p w:rsidR="00EC1AEE" w:rsidRPr="00B406D8" w:rsidRDefault="00B406D8" w:rsidP="00464497">
      <w:pPr>
        <w:pStyle w:val="Compact"/>
        <w:numPr>
          <w:ilvl w:val="0"/>
          <w:numId w:val="2"/>
        </w:numPr>
        <w:spacing w:before="0" w:after="140" w:line="480" w:lineRule="auto"/>
        <w:rPr>
          <w:rFonts w:ascii="Times New Roman" w:hAnsi="Times New Roman" w:cs="Times New Roman"/>
        </w:rPr>
      </w:pPr>
      <w:r>
        <w:rPr>
          <w:rFonts w:ascii="Times New Roman" w:hAnsi="Times New Roman" w:cs="Times New Roman"/>
        </w:rPr>
        <w:t xml:space="preserve">Donggang virus: </w:t>
      </w:r>
      <m:oMath>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dual-host</m:t>
            </m:r>
          </m:e>
        </m:d>
        <m:r>
          <m:rPr>
            <m:sty m:val="p"/>
          </m:rPr>
          <w:rPr>
            <w:rFonts w:ascii="Cambria Math" w:hAnsi="Cambria Math" w:cs="Times New Roman"/>
          </w:rPr>
          <m:t>=</m:t>
        </m:r>
        <m:r>
          <w:rPr>
            <w:rFonts w:ascii="Cambria Math" w:hAnsi="Cambria Math" w:cs="Times New Roman"/>
          </w:rPr>
          <m:t>0.698</m:t>
        </m:r>
      </m:oMath>
    </w:p>
    <w:p w:rsidR="00EC1AEE" w:rsidRPr="00B406D8" w:rsidRDefault="00B406D8" w:rsidP="00464497">
      <w:pPr>
        <w:pStyle w:val="FirstParagraph"/>
        <w:spacing w:before="0" w:after="140" w:line="480" w:lineRule="auto"/>
        <w:rPr>
          <w:rFonts w:ascii="Times New Roman" w:hAnsi="Times New Roman" w:cs="Times New Roman"/>
        </w:rPr>
      </w:pPr>
      <w:r>
        <w:rPr>
          <w:rFonts w:ascii="Times New Roman" w:hAnsi="Times New Roman" w:cs="Times New Roman"/>
        </w:rPr>
        <w:t xml:space="preserve">Each was represented by two genomes. Correctly classified species showed </w:t>
      </w:r>
      <m:oMath>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dual-host</m:t>
            </m:r>
          </m:e>
        </m:d>
      </m:oMath>
      <w:r>
        <w:rPr>
          <w:rFonts w:ascii="Times New Roman" w:hAnsi="Times New Roman" w:cs="Times New Roman"/>
        </w:rPr>
        <w:t xml:space="preserve"> ranging from </w:t>
      </w:r>
      <m:oMath>
        <m:sSup>
          <m:sSupPr>
            <m:ctrlPr>
              <w:rPr>
                <w:rFonts w:ascii="Cambria Math" w:hAnsi="Cambria Math" w:cs="Times New Roman"/>
              </w:rPr>
            </m:ctrlPr>
          </m:sSupPr>
          <m:e>
            <m:r>
              <w:rPr>
                <w:rFonts w:ascii="Cambria Math" w:hAnsi="Cambria Math" w:cs="Times New Roman"/>
              </w:rPr>
              <m:t>10</m:t>
            </m:r>
          </m:e>
          <m:sup>
            <m:r>
              <m:rPr>
                <m:sty m:val="p"/>
              </m:rPr>
              <w:rPr>
                <w:rFonts w:ascii="Cambria Math" w:hAnsi="Cambria Math" w:cs="Times New Roman"/>
              </w:rPr>
              <m:t>-</m:t>
            </m:r>
            <m:r>
              <w:rPr>
                <w:rFonts w:ascii="Cambria Math" w:hAnsi="Cambria Math" w:cs="Times New Roman"/>
              </w:rPr>
              <m:t>9</m:t>
            </m:r>
          </m:sup>
        </m:sSup>
      </m:oMath>
      <w:r>
        <w:rPr>
          <w:rFonts w:ascii="Times New Roman" w:hAnsi="Times New Roman" w:cs="Times New Roman"/>
        </w:rPr>
        <w:t xml:space="preserve"> to 0.191.</w:t>
      </w:r>
    </w:p>
    <w:p w:rsidR="00EC1AEE" w:rsidRPr="00B406D8" w:rsidRDefault="00EC1AEE" w:rsidP="00464497">
      <w:pPr>
        <w:spacing w:after="140" w:line="480" w:lineRule="auto"/>
        <w:rPr>
          <w:rFonts w:ascii="Times New Roman" w:hAnsi="Times New Roman" w:cs="Times New Roman"/>
        </w:rPr>
      </w:pPr>
    </w:p>
    <w:p w:rsidR="00EC1AEE" w:rsidRDefault="00FC228C">
      <w:pPr>
        <w:pStyle w:val="FirstParagraph"/>
      </w:pPr>
      <w:r>
        <w:rPr>
          <w:noProof/>
          <w:lang w:eastAsia="ko-KR"/>
        </w:rPr>
        <w:lastRenderedPageBreak/>
        <w:drawing>
          <wp:inline distT="0" distB="0" distL="0" distR="0" wp14:anchorId="7DBF822F" wp14:editId="36F2419B">
            <wp:extent cx="5943600" cy="64369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4_publication.tiff"/>
                    <pic:cNvPicPr/>
                  </pic:nvPicPr>
                  <pic:blipFill>
                    <a:blip r:embed="rId11">
                      <a:extLst>
                        <a:ext uri="{28A0092B-C50C-407E-A947-70E740481C1C}">
                          <a14:useLocalDpi xmlns:a14="http://schemas.microsoft.com/office/drawing/2010/main" val="0"/>
                        </a:ext>
                      </a:extLst>
                    </a:blip>
                    <a:stretch>
                      <a:fillRect/>
                    </a:stretch>
                  </pic:blipFill>
                  <pic:spPr>
                    <a:xfrm>
                      <a:off x="0" y="0"/>
                      <a:ext cx="5943600" cy="6436995"/>
                    </a:xfrm>
                    <a:prstGeom prst="rect">
                      <a:avLst/>
                    </a:prstGeom>
                  </pic:spPr>
                </pic:pic>
              </a:graphicData>
            </a:graphic>
          </wp:inline>
        </w:drawing>
      </w:r>
    </w:p>
    <w:p w:rsidR="00EC1AEE" w:rsidRPr="00B406D8" w:rsidRDefault="00B406D8" w:rsidP="00F214B7">
      <w:pPr>
        <w:pStyle w:val="BodyText"/>
        <w:spacing w:before="0" w:after="140" w:line="480" w:lineRule="auto"/>
        <w:rPr>
          <w:rFonts w:ascii="Times New Roman" w:hAnsi="Times New Roman" w:cs="Times New Roman"/>
        </w:rPr>
      </w:pPr>
      <w:r>
        <w:rPr>
          <w:rFonts w:ascii="Times New Roman" w:hAnsi="Times New Roman" w:cs="Times New Roman"/>
          <w:b/>
          <w:bCs/>
        </w:rPr>
        <w:t>Fig. 4. Ablation and robustness analyses.</w:t>
      </w:r>
      <w:r>
        <w:rPr>
          <w:rFonts w:ascii="Times New Roman" w:hAnsi="Times New Roman" w:cs="Times New Roman"/>
        </w:rPr>
        <w:t xml:space="preserve"> (A) Feature ablation comparing compositional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2</m:t>
        </m:r>
      </m:oMath>
      <w:r>
        <w:rPr>
          <w:rFonts w:ascii="Times New Roman" w:hAnsi="Times New Roman" w:cs="Times New Roman"/>
        </w:rPr>
        <w:t>), dinucleotide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34</m:t>
        </m:r>
      </m:oMath>
      <w:r>
        <w:rPr>
          <w:rFonts w:ascii="Times New Roman" w:hAnsi="Times New Roman" w:cs="Times New Roman"/>
        </w:rPr>
        <w:t>), RSCU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61</m:t>
        </m:r>
      </m:oMath>
      <w:r>
        <w:rPr>
          <w:rFonts w:ascii="Times New Roman" w:hAnsi="Times New Roman" w:cs="Times New Roman"/>
        </w:rPr>
        <w:t>), and combined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97</m:t>
        </m:r>
      </m:oMath>
      <w:r>
        <w:rPr>
          <w:rFonts w:ascii="Times New Roman" w:hAnsi="Times New Roman" w:cs="Times New Roman"/>
        </w:rPr>
        <w:t xml:space="preserve">) features. Dinucleotide features achieve PR-AUC = 1.000. (B) Genome length removal control. Performance degradation is minimal. (C) Five-fold species-stratified cross-validation. Bars: mean; error bars: </w:t>
      </w:r>
      <w:r>
        <w:rPr>
          <w:rFonts w:ascii="Times New Roman" w:hAnsi="Times New Roman" w:cs="Times New Roman"/>
        </w:rPr>
        <w:lastRenderedPageBreak/>
        <w:t xml:space="preserve">SD. No significant classifier differences (Wilcoxon signed-rank test). (D) LOSO-CV for 24 ISFV species. Bars show </w:t>
      </w:r>
      <m:oMath>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dual-host</m:t>
            </m:r>
          </m:e>
        </m:d>
      </m:oMath>
      <w:r>
        <w:rPr>
          <w:rFonts w:ascii="Times New Roman" w:hAnsi="Times New Roman" w:cs="Times New Roman"/>
        </w:rPr>
        <w:t xml:space="preserve"> when each species was held out. Green: correctly classified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20</m:t>
        </m:r>
      </m:oMath>
      <w:r>
        <w:rPr>
          <w:rFonts w:ascii="Times New Roman" w:hAnsi="Times New Roman" w:cs="Times New Roman"/>
        </w:rPr>
        <w:t>); red: misclassified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4</m:t>
        </m:r>
      </m:oMath>
      <w:r>
        <w:rPr>
          <w:rFonts w:ascii="Times New Roman" w:hAnsi="Times New Roman" w:cs="Times New Roman"/>
        </w:rPr>
        <w:t>). Dashed line: decision threshold (0.5).</w:t>
      </w:r>
    </w:p>
    <w:bookmarkStart w:id="23" w:name="X85215e8454ab6c49cf7eb4a91efb90ae4d27b09"/>
    <w:bookmarkEnd w:id="22"/>
    <w:p w:rsidR="00EC1AEE" w:rsidRPr="00B406D8" w:rsidRDefault="00A32DF8" w:rsidP="00F214B7">
      <w:pPr>
        <w:pStyle w:val="Heading3"/>
        <w:spacing w:before="0" w:after="140" w:line="480" w:lineRule="auto"/>
        <w:rPr>
          <w:rFonts w:ascii="Times New Roman" w:hAnsi="Times New Roman" w:cs="Times New Roman"/>
        </w:rPr>
      </w:pPr>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CGT</m:t>
            </m:r>
          </m:sub>
        </m:sSub>
      </m:oMath>
      <w:r w:rsidR="008A1514">
        <w:rPr>
          <w:rFonts w:ascii="Times New Roman" w:hAnsi="Times New Roman" w:cs="Times New Roman"/>
        </w:rPr>
        <w:t xml:space="preserve"> and dinucleotide patterns are the strongest predictors</w:t>
      </w:r>
    </w:p>
    <w:p w:rsidR="00EC1AEE" w:rsidRPr="00B406D8" w:rsidRDefault="00B406D8" w:rsidP="00F214B7">
      <w:pPr>
        <w:pStyle w:val="FirstParagraph"/>
        <w:spacing w:before="0" w:after="140" w:line="480" w:lineRule="auto"/>
        <w:rPr>
          <w:rFonts w:ascii="Times New Roman" w:hAnsi="Times New Roman" w:cs="Times New Roman"/>
        </w:rPr>
      </w:pPr>
      <w:r>
        <w:rPr>
          <w:rFonts w:ascii="Times New Roman" w:hAnsi="Times New Roman" w:cs="Times New Roman"/>
        </w:rPr>
        <w:t>Feature analysis revealed consistent signals across classifiers (Fig. 5A-B). Top logistic regression coefficients (absolute value) were:</w:t>
      </w:r>
    </w:p>
    <w:p w:rsidR="00EC1AEE" w:rsidRPr="00B406D8" w:rsidRDefault="00B406D8" w:rsidP="00F214B7">
      <w:pPr>
        <w:pStyle w:val="Compact"/>
        <w:numPr>
          <w:ilvl w:val="0"/>
          <w:numId w:val="3"/>
        </w:numPr>
        <w:spacing w:before="0" w:after="140" w:line="480" w:lineRule="auto"/>
        <w:rPr>
          <w:rFonts w:ascii="Times New Roman" w:hAnsi="Times New Roman" w:cs="Times New Roman"/>
        </w:rPr>
      </w:pPr>
      <w:r>
        <w:rPr>
          <w:rFonts w:ascii="Times New Roman" w:hAnsi="Times New Roman" w:cs="Times New Roman"/>
        </w:rPr>
        <w:t xml:space="preserve">Genome length: </w:t>
      </w:r>
      <m:oMath>
        <m:r>
          <w:rPr>
            <w:rFonts w:ascii="Cambria Math" w:hAnsi="Cambria Math" w:cs="Times New Roman"/>
          </w:rPr>
          <m:t>β</m:t>
        </m:r>
        <m:r>
          <m:rPr>
            <m:sty m:val="p"/>
          </m:rPr>
          <w:rPr>
            <w:rFonts w:ascii="Cambria Math" w:hAnsi="Cambria Math" w:cs="Times New Roman"/>
          </w:rPr>
          <m:t>=+</m:t>
        </m:r>
        <m:r>
          <w:rPr>
            <w:rFonts w:ascii="Cambria Math" w:hAnsi="Cambria Math" w:cs="Times New Roman"/>
          </w:rPr>
          <m:t>0.481</m:t>
        </m:r>
      </m:oMath>
    </w:p>
    <w:p w:rsidR="00EC1AEE" w:rsidRPr="00B406D8" w:rsidRDefault="00A32DF8" w:rsidP="00F214B7">
      <w:pPr>
        <w:pStyle w:val="Compact"/>
        <w:numPr>
          <w:ilvl w:val="0"/>
          <w:numId w:val="3"/>
        </w:numPr>
        <w:spacing w:before="0" w:after="140" w:line="480" w:lineRule="auto"/>
        <w:rPr>
          <w:rFonts w:ascii="Times New Roman" w:hAnsi="Times New Roman" w:cs="Times New Roman"/>
        </w:rPr>
      </w:pPr>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CGT</m:t>
            </m:r>
          </m:sub>
        </m:sSub>
      </m:oMath>
      <w:r w:rsidR="008A1514">
        <w:rPr>
          <w:rFonts w:ascii="Times New Roman" w:hAnsi="Times New Roman" w:cs="Times New Roman"/>
        </w:rPr>
        <w:t xml:space="preserve">: </w:t>
      </w:r>
      <m:oMath>
        <m:r>
          <w:rPr>
            <w:rFonts w:ascii="Cambria Math" w:hAnsi="Cambria Math" w:cs="Times New Roman"/>
          </w:rPr>
          <m:t>β</m:t>
        </m:r>
        <m:r>
          <m:rPr>
            <m:sty m:val="p"/>
          </m:rPr>
          <w:rPr>
            <w:rFonts w:ascii="Cambria Math" w:hAnsi="Cambria Math" w:cs="Times New Roman"/>
          </w:rPr>
          <m:t>=-</m:t>
        </m:r>
        <m:r>
          <w:rPr>
            <w:rFonts w:ascii="Cambria Math" w:hAnsi="Cambria Math" w:cs="Times New Roman"/>
          </w:rPr>
          <m:t>0.476</m:t>
        </m:r>
      </m:oMath>
    </w:p>
    <w:p w:rsidR="00EC1AEE" w:rsidRPr="00B406D8" w:rsidRDefault="00B406D8" w:rsidP="00F214B7">
      <w:pPr>
        <w:pStyle w:val="Compact"/>
        <w:numPr>
          <w:ilvl w:val="0"/>
          <w:numId w:val="3"/>
        </w:numPr>
        <w:spacing w:before="0" w:after="140" w:line="480" w:lineRule="auto"/>
        <w:rPr>
          <w:rFonts w:ascii="Times New Roman" w:hAnsi="Times New Roman" w:cs="Times New Roman"/>
        </w:rPr>
      </w:pPr>
      <w:r>
        <w:rPr>
          <w:rFonts w:ascii="Times New Roman" w:hAnsi="Times New Roman" w:cs="Times New Roman"/>
        </w:rPr>
        <w:t xml:space="preserve">AC frequency: </w:t>
      </w:r>
      <m:oMath>
        <m:r>
          <w:rPr>
            <w:rFonts w:ascii="Cambria Math" w:hAnsi="Cambria Math" w:cs="Times New Roman"/>
          </w:rPr>
          <m:t>β</m:t>
        </m:r>
        <m:r>
          <m:rPr>
            <m:sty m:val="p"/>
          </m:rPr>
          <w:rPr>
            <w:rFonts w:ascii="Cambria Math" w:hAnsi="Cambria Math" w:cs="Times New Roman"/>
          </w:rPr>
          <m:t>=+</m:t>
        </m:r>
        <m:r>
          <w:rPr>
            <w:rFonts w:ascii="Cambria Math" w:hAnsi="Cambria Math" w:cs="Times New Roman"/>
          </w:rPr>
          <m:t>0.372</m:t>
        </m:r>
      </m:oMath>
    </w:p>
    <w:p w:rsidR="00EC1AEE" w:rsidRPr="00B406D8" w:rsidRDefault="00B406D8" w:rsidP="00F214B7">
      <w:pPr>
        <w:pStyle w:val="Compact"/>
        <w:numPr>
          <w:ilvl w:val="0"/>
          <w:numId w:val="3"/>
        </w:numPr>
        <w:spacing w:before="0" w:after="140" w:line="480" w:lineRule="auto"/>
        <w:rPr>
          <w:rFonts w:ascii="Times New Roman" w:hAnsi="Times New Roman" w:cs="Times New Roman"/>
        </w:rPr>
      </w:pPr>
      <w:r>
        <w:rPr>
          <w:rFonts w:ascii="Times New Roman" w:hAnsi="Times New Roman" w:cs="Times New Roman"/>
        </w:rPr>
        <w:t xml:space="preserve">AA O/E: </w:t>
      </w:r>
      <m:oMath>
        <m:r>
          <w:rPr>
            <w:rFonts w:ascii="Cambria Math" w:hAnsi="Cambria Math" w:cs="Times New Roman"/>
          </w:rPr>
          <m:t>β</m:t>
        </m:r>
        <m:r>
          <m:rPr>
            <m:sty m:val="p"/>
          </m:rPr>
          <w:rPr>
            <w:rFonts w:ascii="Cambria Math" w:hAnsi="Cambria Math" w:cs="Times New Roman"/>
          </w:rPr>
          <m:t>=-</m:t>
        </m:r>
        <m:r>
          <w:rPr>
            <w:rFonts w:ascii="Cambria Math" w:hAnsi="Cambria Math" w:cs="Times New Roman"/>
          </w:rPr>
          <m:t>0.354</m:t>
        </m:r>
      </m:oMath>
    </w:p>
    <w:p w:rsidR="00EC1AEE" w:rsidRPr="00B406D8" w:rsidRDefault="00A32DF8" w:rsidP="00F214B7">
      <w:pPr>
        <w:pStyle w:val="Compact"/>
        <w:numPr>
          <w:ilvl w:val="0"/>
          <w:numId w:val="3"/>
        </w:numPr>
        <w:spacing w:before="0" w:after="140" w:line="480" w:lineRule="auto"/>
        <w:rPr>
          <w:rFonts w:ascii="Times New Roman" w:hAnsi="Times New Roman" w:cs="Times New Roman"/>
        </w:rPr>
      </w:pPr>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GTG</m:t>
            </m:r>
          </m:sub>
        </m:sSub>
      </m:oMath>
      <w:r w:rsidR="008A1514">
        <w:rPr>
          <w:rFonts w:ascii="Times New Roman" w:hAnsi="Times New Roman" w:cs="Times New Roman"/>
        </w:rPr>
        <w:t xml:space="preserve">: </w:t>
      </w:r>
      <m:oMath>
        <m:r>
          <w:rPr>
            <w:rFonts w:ascii="Cambria Math" w:hAnsi="Cambria Math" w:cs="Times New Roman"/>
          </w:rPr>
          <m:t>β</m:t>
        </m:r>
        <m:r>
          <m:rPr>
            <m:sty m:val="p"/>
          </m:rPr>
          <w:rPr>
            <w:rFonts w:ascii="Cambria Math" w:hAnsi="Cambria Math" w:cs="Times New Roman"/>
          </w:rPr>
          <m:t>=+</m:t>
        </m:r>
        <m:r>
          <w:rPr>
            <w:rFonts w:ascii="Cambria Math" w:hAnsi="Cambria Math" w:cs="Times New Roman"/>
          </w:rPr>
          <m:t>0.330</m:t>
        </m:r>
      </m:oMath>
    </w:p>
    <w:p w:rsidR="00EC1AEE" w:rsidRPr="00B406D8" w:rsidRDefault="00B406D8" w:rsidP="00F214B7">
      <w:pPr>
        <w:pStyle w:val="FirstParagraph"/>
        <w:spacing w:before="0" w:after="140" w:line="480" w:lineRule="auto"/>
        <w:rPr>
          <w:rFonts w:ascii="Times New Roman" w:hAnsi="Times New Roman" w:cs="Times New Roman"/>
        </w:rPr>
      </w:pPr>
      <w:r>
        <w:rPr>
          <w:rFonts w:ascii="Times New Roman" w:hAnsi="Times New Roman" w:cs="Times New Roman"/>
        </w:rPr>
        <w:t xml:space="preserve">The negative </w:t>
      </w:r>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CGT</m:t>
            </m:r>
          </m:sub>
        </m:sSub>
      </m:oMath>
      <w:r>
        <w:rPr>
          <w:rFonts w:ascii="Times New Roman" w:hAnsi="Times New Roman" w:cs="Times New Roman"/>
        </w:rPr>
        <w:t xml:space="preserve"> coefficient indicates higher CGT (arginine) codon usage associates with ISFV classification.</w:t>
      </w:r>
    </w:p>
    <w:p w:rsidR="00EC1AEE" w:rsidRPr="00B406D8" w:rsidRDefault="00B406D8" w:rsidP="00F214B7">
      <w:pPr>
        <w:pStyle w:val="BodyText"/>
        <w:spacing w:before="0" w:after="140" w:line="480" w:lineRule="auto"/>
        <w:rPr>
          <w:rFonts w:ascii="Times New Roman" w:hAnsi="Times New Roman" w:cs="Times New Roman"/>
        </w:rPr>
      </w:pPr>
      <w:r>
        <w:rPr>
          <w:rFonts w:ascii="Times New Roman" w:hAnsi="Times New Roman" w:cs="Times New Roman"/>
        </w:rPr>
        <w:t>Top random forest importances (MDI) were:</w:t>
      </w:r>
    </w:p>
    <w:p w:rsidR="00EC1AEE" w:rsidRPr="00B406D8" w:rsidRDefault="00A32DF8" w:rsidP="00F214B7">
      <w:pPr>
        <w:pStyle w:val="Compact"/>
        <w:numPr>
          <w:ilvl w:val="0"/>
          <w:numId w:val="4"/>
        </w:numPr>
        <w:spacing w:before="0" w:after="140" w:line="480" w:lineRule="auto"/>
        <w:rPr>
          <w:rFonts w:ascii="Times New Roman" w:hAnsi="Times New Roman" w:cs="Times New Roman"/>
        </w:rPr>
      </w:pPr>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CGT</m:t>
            </m:r>
          </m:sub>
        </m:sSub>
      </m:oMath>
      <w:r w:rsidR="008A1514">
        <w:rPr>
          <w:rFonts w:ascii="Times New Roman" w:hAnsi="Times New Roman" w:cs="Times New Roman"/>
        </w:rPr>
        <w:t>: 0.107</w:t>
      </w:r>
    </w:p>
    <w:p w:rsidR="00EC1AEE" w:rsidRPr="00B406D8" w:rsidRDefault="00B406D8" w:rsidP="00F214B7">
      <w:pPr>
        <w:pStyle w:val="Compact"/>
        <w:numPr>
          <w:ilvl w:val="0"/>
          <w:numId w:val="4"/>
        </w:numPr>
        <w:spacing w:before="0" w:after="140" w:line="480" w:lineRule="auto"/>
        <w:rPr>
          <w:rFonts w:ascii="Times New Roman" w:hAnsi="Times New Roman" w:cs="Times New Roman"/>
        </w:rPr>
      </w:pPr>
      <w:r>
        <w:rPr>
          <w:rFonts w:ascii="Times New Roman" w:hAnsi="Times New Roman" w:cs="Times New Roman"/>
        </w:rPr>
        <w:t>CG O/E: 0.075</w:t>
      </w:r>
    </w:p>
    <w:p w:rsidR="00EC1AEE" w:rsidRPr="00B406D8" w:rsidRDefault="00B406D8" w:rsidP="00F214B7">
      <w:pPr>
        <w:pStyle w:val="Compact"/>
        <w:numPr>
          <w:ilvl w:val="0"/>
          <w:numId w:val="4"/>
        </w:numPr>
        <w:spacing w:before="0" w:after="140" w:line="480" w:lineRule="auto"/>
        <w:rPr>
          <w:rFonts w:ascii="Times New Roman" w:hAnsi="Times New Roman" w:cs="Times New Roman"/>
        </w:rPr>
      </w:pPr>
      <w:r>
        <w:rPr>
          <w:rFonts w:ascii="Times New Roman" w:hAnsi="Times New Roman" w:cs="Times New Roman"/>
        </w:rPr>
        <w:t>CpG O/E: 0.066</w:t>
      </w:r>
    </w:p>
    <w:p w:rsidR="00EC1AEE" w:rsidRPr="00B406D8" w:rsidRDefault="00B406D8" w:rsidP="00F214B7">
      <w:pPr>
        <w:pStyle w:val="Compact"/>
        <w:numPr>
          <w:ilvl w:val="0"/>
          <w:numId w:val="4"/>
        </w:numPr>
        <w:spacing w:before="0" w:after="140" w:line="480" w:lineRule="auto"/>
        <w:rPr>
          <w:rFonts w:ascii="Times New Roman" w:hAnsi="Times New Roman" w:cs="Times New Roman"/>
        </w:rPr>
      </w:pPr>
      <w:r>
        <w:rPr>
          <w:rFonts w:ascii="Times New Roman" w:hAnsi="Times New Roman" w:cs="Times New Roman"/>
        </w:rPr>
        <w:t>GT frequency: 0.065</w:t>
      </w:r>
    </w:p>
    <w:p w:rsidR="00EC1AEE" w:rsidRPr="00B406D8" w:rsidRDefault="00B406D8" w:rsidP="00F214B7">
      <w:pPr>
        <w:pStyle w:val="Compact"/>
        <w:numPr>
          <w:ilvl w:val="0"/>
          <w:numId w:val="4"/>
        </w:numPr>
        <w:spacing w:before="0" w:after="140" w:line="480" w:lineRule="auto"/>
        <w:rPr>
          <w:rFonts w:ascii="Times New Roman" w:hAnsi="Times New Roman" w:cs="Times New Roman"/>
        </w:rPr>
      </w:pPr>
      <w:r>
        <w:rPr>
          <w:rFonts w:ascii="Times New Roman" w:hAnsi="Times New Roman" w:cs="Times New Roman"/>
        </w:rPr>
        <w:t>CA frequency: 0.062</w:t>
      </w:r>
    </w:p>
    <w:p w:rsidR="00EC1AEE" w:rsidRPr="00B406D8" w:rsidRDefault="00B406D8" w:rsidP="00F214B7">
      <w:pPr>
        <w:pStyle w:val="FirstParagraph"/>
        <w:spacing w:before="0" w:after="140" w:line="480" w:lineRule="auto"/>
        <w:rPr>
          <w:rFonts w:ascii="Times New Roman" w:hAnsi="Times New Roman" w:cs="Times New Roman"/>
        </w:rPr>
      </w:pPr>
      <w:r>
        <w:rPr>
          <w:rFonts w:ascii="Times New Roman" w:hAnsi="Times New Roman" w:cs="Times New Roman"/>
        </w:rPr>
        <w:lastRenderedPageBreak/>
        <w:t>Genome length was absent from the random forest top 15, consistent with ablation results.</w:t>
      </w:r>
    </w:p>
    <w:p w:rsidR="00EC1AEE" w:rsidRPr="00B406D8" w:rsidRDefault="00B406D8" w:rsidP="00F214B7">
      <w:pPr>
        <w:pStyle w:val="Heading3"/>
        <w:spacing w:before="0" w:after="140" w:line="480" w:lineRule="auto"/>
        <w:rPr>
          <w:rFonts w:ascii="Times New Roman" w:hAnsi="Times New Roman" w:cs="Times New Roman"/>
        </w:rPr>
      </w:pPr>
      <w:bookmarkStart w:id="24" w:name="X2fde6338beac3fe2b75cbc5425743c076d8748b"/>
      <w:bookmarkEnd w:id="23"/>
      <w:r>
        <w:rPr>
          <w:rFonts w:ascii="Times New Roman" w:hAnsi="Times New Roman" w:cs="Times New Roman"/>
        </w:rPr>
        <w:t>Partial dependence reveals feature-outcome relationships</w:t>
      </w:r>
    </w:p>
    <w:p w:rsidR="00EC1AEE" w:rsidRPr="00B406D8" w:rsidRDefault="00B406D8" w:rsidP="00F214B7">
      <w:pPr>
        <w:pStyle w:val="FirstParagraph"/>
        <w:spacing w:before="0" w:after="140" w:line="480" w:lineRule="auto"/>
        <w:rPr>
          <w:rFonts w:ascii="Times New Roman" w:hAnsi="Times New Roman" w:cs="Times New Roman"/>
        </w:rPr>
      </w:pPr>
      <w:r>
        <w:rPr>
          <w:rFonts w:ascii="Times New Roman" w:hAnsi="Times New Roman" w:cs="Times New Roman"/>
        </w:rPr>
        <w:t>PDPs showed CpG O/E positively associated with ISFV probability (Fig. 5C):</w:t>
      </w:r>
    </w:p>
    <w:p w:rsidR="00EC1AEE" w:rsidRPr="00B406D8" w:rsidRDefault="00A32DF8" w:rsidP="00F214B7">
      <w:pPr>
        <w:pStyle w:val="BodyText"/>
        <w:spacing w:before="0" w:after="140" w:line="480" w:lineRule="auto"/>
        <w:rPr>
          <w:rFonts w:ascii="Times New Roman" w:hAnsi="Times New Roman" w:cs="Times New Roman"/>
        </w:rPr>
      </w:pPr>
      <m:oMathPara>
        <m:oMathParaPr>
          <m:jc m:val="center"/>
        </m:oMathParaPr>
        <m:oMath>
          <m:f>
            <m:fPr>
              <m:ctrlPr>
                <w:rPr>
                  <w:rFonts w:ascii="Cambria Math" w:hAnsi="Cambria Math" w:cs="Times New Roman"/>
                </w:rPr>
              </m:ctrlPr>
            </m:fPr>
            <m:num>
              <m:r>
                <m:rPr>
                  <m:sty m:val="p"/>
                </m:rPr>
                <w:rPr>
                  <w:rFonts w:ascii="Cambria Math" w:hAnsi="Cambria Math" w:cs="Times New Roman"/>
                </w:rPr>
                <m:t>∂</m:t>
              </m:r>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ISFV</m:t>
                  </m:r>
                </m:e>
              </m:d>
            </m:num>
            <m:den>
              <m:r>
                <m:rPr>
                  <m:sty m:val="p"/>
                </m:rPr>
                <w:rPr>
                  <w:rFonts w:ascii="Cambria Math" w:hAnsi="Cambria Math" w:cs="Times New Roman"/>
                </w:rPr>
                <m:t>∂</m:t>
              </m:r>
              <m:r>
                <m:rPr>
                  <m:nor/>
                </m:rPr>
                <w:rPr>
                  <w:rFonts w:ascii="Times New Roman" w:hAnsi="Times New Roman" w:cs="Times New Roman"/>
                </w:rPr>
                <m:t>CpG O/E</m:t>
              </m:r>
            </m:den>
          </m:f>
          <m:r>
            <m:rPr>
              <m:sty m:val="p"/>
            </m:rPr>
            <w:rPr>
              <w:rFonts w:ascii="Cambria Math" w:hAnsi="Cambria Math" w:cs="Times New Roman"/>
            </w:rPr>
            <m:t>&gt;</m:t>
          </m:r>
          <m:r>
            <w:rPr>
              <w:rFonts w:ascii="Cambria Math" w:hAnsi="Cambria Math" w:cs="Times New Roman"/>
            </w:rPr>
            <m:t>0</m:t>
          </m:r>
        </m:oMath>
      </m:oMathPara>
    </w:p>
    <w:p w:rsidR="00EC1AEE" w:rsidRPr="00B406D8" w:rsidRDefault="00B406D8" w:rsidP="00F214B7">
      <w:pPr>
        <w:pStyle w:val="FirstParagraph"/>
        <w:spacing w:before="0" w:after="140" w:line="480" w:lineRule="auto"/>
        <w:rPr>
          <w:rFonts w:ascii="Times New Roman" w:hAnsi="Times New Roman" w:cs="Times New Roman"/>
        </w:rPr>
      </w:pPr>
      <w:r>
        <w:rPr>
          <w:rFonts w:ascii="Times New Roman" w:hAnsi="Times New Roman" w:cs="Times New Roman"/>
        </w:rPr>
        <w:t xml:space="preserve">Higher CpG O/E (less suppression) increases ISFV classification probability. </w:t>
      </w:r>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CGT</m:t>
            </m:r>
          </m:sub>
        </m:sSub>
      </m:oMath>
      <w:r>
        <w:rPr>
          <w:rFonts w:ascii="Times New Roman" w:hAnsi="Times New Roman" w:cs="Times New Roman"/>
        </w:rPr>
        <w:t xml:space="preserve"> showed strong positive association with ISFV probability, indicating CGT codon preference in insect-specific viruses.</w:t>
      </w:r>
    </w:p>
    <w:p w:rsidR="00EC1AEE" w:rsidRDefault="00FC228C">
      <w:pPr>
        <w:pStyle w:val="FirstParagraph"/>
      </w:pPr>
      <w:r>
        <w:rPr>
          <w:noProof/>
          <w:lang w:eastAsia="ko-KR"/>
        </w:rPr>
        <w:lastRenderedPageBreak/>
        <w:drawing>
          <wp:inline distT="0" distB="0" distL="0" distR="0" wp14:anchorId="06CBACF5" wp14:editId="4EB6D7B8">
            <wp:extent cx="5943600" cy="7200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5_publication.tiff"/>
                    <pic:cNvPicPr/>
                  </pic:nvPicPr>
                  <pic:blipFill>
                    <a:blip r:embed="rId12">
                      <a:extLst>
                        <a:ext uri="{28A0092B-C50C-407E-A947-70E740481C1C}">
                          <a14:useLocalDpi xmlns:a14="http://schemas.microsoft.com/office/drawing/2010/main" val="0"/>
                        </a:ext>
                      </a:extLst>
                    </a:blip>
                    <a:stretch>
                      <a:fillRect/>
                    </a:stretch>
                  </pic:blipFill>
                  <pic:spPr>
                    <a:xfrm>
                      <a:off x="0" y="0"/>
                      <a:ext cx="5943600" cy="7200900"/>
                    </a:xfrm>
                    <a:prstGeom prst="rect">
                      <a:avLst/>
                    </a:prstGeom>
                  </pic:spPr>
                </pic:pic>
              </a:graphicData>
            </a:graphic>
          </wp:inline>
        </w:drawing>
      </w:r>
    </w:p>
    <w:p w:rsidR="00EC1AEE" w:rsidRPr="00FC228C" w:rsidRDefault="00B406D8" w:rsidP="00F214B7">
      <w:pPr>
        <w:pStyle w:val="BodyText"/>
        <w:spacing w:before="0" w:after="140" w:line="480" w:lineRule="auto"/>
        <w:rPr>
          <w:rFonts w:ascii="Times New Roman" w:hAnsi="Times New Roman" w:cs="Times New Roman"/>
        </w:rPr>
      </w:pPr>
      <w:r>
        <w:rPr>
          <w:rFonts w:ascii="Times New Roman" w:hAnsi="Times New Roman" w:cs="Times New Roman"/>
          <w:b/>
          <w:bCs/>
        </w:rPr>
        <w:t>Fig. 5. Feature importance and partial dependence.</w:t>
      </w:r>
      <w:r>
        <w:rPr>
          <w:rFonts w:ascii="Times New Roman" w:hAnsi="Times New Roman" w:cs="Times New Roman"/>
        </w:rPr>
        <w:t xml:space="preserve"> (A) Top 15 logistic regression coefficients (absolute value). Blue: ISFV-associated (negative); red: dual-host-associated </w:t>
      </w:r>
      <w:r>
        <w:rPr>
          <w:rFonts w:ascii="Times New Roman" w:hAnsi="Times New Roman" w:cs="Times New Roman"/>
        </w:rPr>
        <w:lastRenderedPageBreak/>
        <w:t xml:space="preserve">(positive). (B) Top 15 random forest importances (MDI). </w:t>
      </w:r>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CGT</m:t>
            </m:r>
          </m:sub>
        </m:sSub>
      </m:oMath>
      <w:r>
        <w:rPr>
          <w:rFonts w:ascii="Times New Roman" w:hAnsi="Times New Roman" w:cs="Times New Roman"/>
        </w:rPr>
        <w:t xml:space="preserve"> ranks highest (0.107). Dinucleotide features dominate (11/15). </w:t>
      </w:r>
      <w:r w:rsidR="00FC228C" w:rsidRPr="00FC228C">
        <w:rPr>
          <w:rStyle w:val="Strong"/>
          <w:rFonts w:ascii="Times New Roman" w:hAnsi="Times New Roman" w:cs="Times New Roman"/>
          <w:b w:val="0"/>
        </w:rPr>
        <w:t>(C)</w:t>
      </w:r>
      <w:r w:rsidR="00FC228C" w:rsidRPr="00FC228C">
        <w:rPr>
          <w:rFonts w:ascii="Times New Roman" w:hAnsi="Times New Roman" w:cs="Times New Roman"/>
        </w:rPr>
        <w:t xml:space="preserve"> Partial dependence plot showing the marginal effect of CpG O/E ratio on predicted P(ISFV). Higher CpG O/E values (indicating less CpG suppression) are associated with increased ISFV probability, consistent with the absence of vertebrate immune selection in insect-only viruses. The dashed line indicates the decision boundary (P = 0.5); blue shading indicates the ISFV-associated region; red shading indicates the dual-host-associated region. Inset shows the zoomed partial dependence curve with class mean CpG O/E values indicated (dual-host = 0.427; ISFV = 0.858).</w:t>
      </w:r>
    </w:p>
    <w:p w:rsidR="00EC1AEE" w:rsidRPr="00B406D8" w:rsidRDefault="00B406D8" w:rsidP="00F214B7">
      <w:pPr>
        <w:pStyle w:val="Heading3"/>
        <w:spacing w:before="0" w:after="140" w:line="480" w:lineRule="auto"/>
        <w:rPr>
          <w:rFonts w:ascii="Times New Roman" w:hAnsi="Times New Roman" w:cs="Times New Roman"/>
        </w:rPr>
      </w:pPr>
      <w:bookmarkStart w:id="25" w:name="X1b3c8cc217ba915e4412fb307904b0165815cad"/>
      <w:bookmarkEnd w:id="24"/>
      <w:r>
        <w:rPr>
          <w:rFonts w:ascii="Times New Roman" w:hAnsi="Times New Roman" w:cs="Times New Roman"/>
        </w:rPr>
        <w:t>Per-species analysis reveals high classification confidence</w:t>
      </w:r>
    </w:p>
    <w:p w:rsidR="00EC1AEE" w:rsidRPr="00F41F4A" w:rsidRDefault="00B406D8" w:rsidP="00F214B7">
      <w:pPr>
        <w:pStyle w:val="FirstParagraph"/>
        <w:spacing w:before="0" w:after="140" w:line="480" w:lineRule="auto"/>
        <w:rPr>
          <w:rFonts w:ascii="Times New Roman" w:hAnsi="Times New Roman" w:cs="Times New Roman"/>
        </w:rPr>
      </w:pPr>
      <w:r w:rsidRPr="00F41F4A">
        <w:rPr>
          <w:rFonts w:ascii="Times New Roman" w:hAnsi="Times New Roman" w:cs="Times New Roman"/>
        </w:rPr>
        <w:t xml:space="preserve">Per-species prediction demonstrated </w:t>
      </w:r>
      <w:r w:rsidR="008A440B" w:rsidRPr="00F41F4A">
        <w:rPr>
          <w:rFonts w:ascii="Times New Roman" w:hAnsi="Times New Roman" w:cs="Times New Roman"/>
        </w:rPr>
        <w:t>50</w:t>
      </w:r>
      <w:r w:rsidR="008A440B" w:rsidRPr="00F41F4A">
        <w:rPr>
          <w:rFonts w:ascii="Times New Roman" w:hAnsi="Times New Roman" w:cs="Times New Roman"/>
        </w:rPr>
        <w:t>/53</w:t>
      </w:r>
      <w:r w:rsidR="008A440B" w:rsidRPr="00F41F4A">
        <w:rPr>
          <w:rFonts w:ascii="Times New Roman" w:hAnsi="Times New Roman" w:cs="Times New Roman"/>
        </w:rPr>
        <w:t xml:space="preserve"> </w:t>
      </w:r>
      <w:r w:rsidR="008A440B" w:rsidRPr="00F41F4A">
        <w:rPr>
          <w:rFonts w:ascii="Times New Roman" w:hAnsi="Times New Roman" w:cs="Times New Roman"/>
        </w:rPr>
        <w:t xml:space="preserve">species </w:t>
      </w:r>
      <w:r w:rsidR="008A440B" w:rsidRPr="00F41F4A">
        <w:rPr>
          <w:rFonts w:ascii="Times New Roman" w:hAnsi="Times New Roman" w:cs="Times New Roman"/>
        </w:rPr>
        <w:t>(94.3</w:t>
      </w:r>
      <w:r w:rsidR="008A440B" w:rsidRPr="00F41F4A">
        <w:rPr>
          <w:rFonts w:ascii="Times New Roman" w:hAnsi="Times New Roman" w:cs="Times New Roman"/>
        </w:rPr>
        <w:t>%)</w:t>
      </w:r>
      <w:r w:rsidRPr="00F41F4A">
        <w:rPr>
          <w:rFonts w:ascii="Times New Roman" w:hAnsi="Times New Roman" w:cs="Times New Roman"/>
        </w:rPr>
        <w:t xml:space="preserve"> correctly class</w:t>
      </w:r>
      <w:r w:rsidR="008A440B" w:rsidRPr="00F41F4A">
        <w:rPr>
          <w:rFonts w:ascii="Times New Roman" w:hAnsi="Times New Roman" w:cs="Times New Roman"/>
        </w:rPr>
        <w:t>ified (Fig. 6A). Among ISFVs, 20</w:t>
      </w:r>
      <w:r w:rsidRPr="00F41F4A">
        <w:rPr>
          <w:rFonts w:ascii="Times New Roman" w:hAnsi="Times New Roman" w:cs="Times New Roman"/>
        </w:rPr>
        <w:t xml:space="preserve">/24 species showed </w:t>
      </w:r>
      <m:oMath>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dual-host</m:t>
            </m:r>
          </m:e>
        </m:d>
        <m:r>
          <m:rPr>
            <m:sty m:val="p"/>
          </m:rPr>
          <w:rPr>
            <w:rFonts w:ascii="Cambria Math" w:hAnsi="Cambria Math" w:cs="Times New Roman"/>
          </w:rPr>
          <m:t>&lt;</m:t>
        </m:r>
        <m:r>
          <w:rPr>
            <w:rFonts w:ascii="Cambria Math" w:hAnsi="Cambria Math" w:cs="Times New Roman"/>
          </w:rPr>
          <m:t>0.2</m:t>
        </m:r>
      </m:oMath>
      <w:r w:rsidRPr="00F41F4A">
        <w:rPr>
          <w:rFonts w:ascii="Times New Roman" w:hAnsi="Times New Roman" w:cs="Times New Roman"/>
        </w:rPr>
        <w:t xml:space="preserve">. All 29 dual-host species were correctly classified, most with </w:t>
      </w:r>
      <m:oMath>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dual-host</m:t>
            </m:r>
          </m:e>
        </m:d>
        <m:r>
          <m:rPr>
            <m:sty m:val="p"/>
          </m:rPr>
          <w:rPr>
            <w:rFonts w:ascii="Cambria Math" w:hAnsi="Cambria Math" w:cs="Times New Roman"/>
          </w:rPr>
          <m:t>&gt;</m:t>
        </m:r>
        <m:r>
          <w:rPr>
            <w:rFonts w:ascii="Cambria Math" w:hAnsi="Cambria Math" w:cs="Times New Roman"/>
          </w:rPr>
          <m:t>0.9</m:t>
        </m:r>
      </m:oMath>
      <w:r w:rsidRPr="00F41F4A">
        <w:rPr>
          <w:rFonts w:ascii="Times New Roman" w:hAnsi="Times New Roman" w:cs="Times New Roman"/>
        </w:rPr>
        <w:t>.</w:t>
      </w:r>
    </w:p>
    <w:p w:rsidR="00EC1AEE" w:rsidRPr="00F41F4A" w:rsidRDefault="008A440B" w:rsidP="00F214B7">
      <w:pPr>
        <w:pStyle w:val="BodyText"/>
        <w:spacing w:before="0" w:after="140" w:line="480" w:lineRule="auto"/>
        <w:rPr>
          <w:rFonts w:ascii="Times New Roman" w:hAnsi="Times New Roman" w:cs="Times New Roman"/>
        </w:rPr>
      </w:pPr>
      <w:r w:rsidRPr="00F41F4A">
        <w:rPr>
          <w:rFonts w:ascii="Times New Roman" w:hAnsi="Times New Roman" w:cs="Times New Roman"/>
        </w:rPr>
        <w:t>Four</w:t>
      </w:r>
      <w:r w:rsidR="00B406D8" w:rsidRPr="00F41F4A">
        <w:rPr>
          <w:rFonts w:ascii="Times New Roman" w:hAnsi="Times New Roman" w:cs="Times New Roman"/>
        </w:rPr>
        <w:t xml:space="preserve"> ISFV species were misclassified: T’Ho virus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1.000</m:t>
        </m:r>
      </m:oMath>
      <w:r w:rsidR="00B406D8" w:rsidRPr="00F41F4A">
        <w:rPr>
          <w:rFonts w:ascii="Times New Roman" w:hAnsi="Times New Roman" w:cs="Times New Roman"/>
        </w:rPr>
        <w:t>), Kampung Karu virus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1.000</m:t>
        </m:r>
      </m:oMath>
      <w:r w:rsidR="00B406D8" w:rsidRPr="00F41F4A">
        <w:rPr>
          <w:rFonts w:ascii="Times New Roman" w:hAnsi="Times New Roman" w:cs="Times New Roman"/>
        </w:rPr>
        <w:t>), and Chaoyang virus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0.726</m:t>
        </m:r>
      </m:oMath>
      <w:r w:rsidR="00B406D8" w:rsidRPr="00F41F4A">
        <w:rPr>
          <w:rFonts w:ascii="Times New Roman" w:hAnsi="Times New Roman" w:cs="Times New Roman"/>
        </w:rPr>
        <w:t xml:space="preserve">). Donggang virus showed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0.698</m:t>
        </m:r>
      </m:oMath>
      <w:r w:rsidR="00B406D8" w:rsidRPr="00F41F4A">
        <w:rPr>
          <w:rFonts w:ascii="Times New Roman" w:hAnsi="Times New Roman" w:cs="Times New Roman"/>
        </w:rPr>
        <w:t>, marginally above threshold.</w:t>
      </w:r>
    </w:p>
    <w:p w:rsidR="00EC1AEE" w:rsidRPr="00B406D8" w:rsidRDefault="00B406D8" w:rsidP="00F214B7">
      <w:pPr>
        <w:pStyle w:val="Heading3"/>
        <w:spacing w:before="0" w:after="140" w:line="480" w:lineRule="auto"/>
        <w:rPr>
          <w:rFonts w:ascii="Times New Roman" w:hAnsi="Times New Roman" w:cs="Times New Roman"/>
        </w:rPr>
      </w:pPr>
      <w:bookmarkStart w:id="26" w:name="X423e7bf7a9787328ffad63e00bb065118379064"/>
      <w:bookmarkEnd w:id="25"/>
      <w:r>
        <w:rPr>
          <w:rFonts w:ascii="Times New Roman" w:hAnsi="Times New Roman" w:cs="Times New Roman"/>
        </w:rPr>
        <w:t>Misclassified ISFVs exhibit intermediate compositional profiles</w:t>
      </w:r>
    </w:p>
    <w:p w:rsidR="00EC1AEE" w:rsidRPr="00B406D8" w:rsidRDefault="00B406D8" w:rsidP="00F214B7">
      <w:pPr>
        <w:pStyle w:val="FirstParagraph"/>
        <w:spacing w:before="0" w:after="140" w:line="480" w:lineRule="auto"/>
        <w:rPr>
          <w:rFonts w:ascii="Times New Roman" w:hAnsi="Times New Roman" w:cs="Times New Roman"/>
        </w:rPr>
      </w:pPr>
      <w:r>
        <w:rPr>
          <w:rFonts w:ascii="Times New Roman" w:hAnsi="Times New Roman" w:cs="Times New Roman"/>
        </w:rPr>
        <w:t>Comparative analysis revealed significant differences between correctly classified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99</m:t>
        </m:r>
      </m:oMath>
      <w:r>
        <w:rPr>
          <w:rFonts w:ascii="Times New Roman" w:hAnsi="Times New Roman" w:cs="Times New Roman"/>
        </w:rPr>
        <w:t xml:space="preserve"> genomes, 20 species) and misclassified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8</m:t>
        </m:r>
      </m:oMath>
      <w:r>
        <w:rPr>
          <w:rFonts w:ascii="Times New Roman" w:hAnsi="Times New Roman" w:cs="Times New Roman"/>
        </w:rPr>
        <w:t xml:space="preserve"> genomes, 4 species) ISFVs (Fig. 6B, Table 2).</w:t>
      </w:r>
    </w:p>
    <w:p w:rsidR="00EC1AEE" w:rsidRPr="00B406D8" w:rsidRDefault="00B406D8" w:rsidP="00F214B7">
      <w:pPr>
        <w:pStyle w:val="BodyText"/>
        <w:spacing w:before="0" w:after="140" w:line="480" w:lineRule="auto"/>
        <w:rPr>
          <w:rFonts w:ascii="Times New Roman" w:hAnsi="Times New Roman" w:cs="Times New Roman"/>
        </w:rPr>
      </w:pPr>
      <w:r>
        <w:rPr>
          <w:rFonts w:ascii="Times New Roman" w:hAnsi="Times New Roman" w:cs="Times New Roman"/>
        </w:rPr>
        <w:t>CpG O/E differed substantially:</w:t>
      </w:r>
    </w:p>
    <w:p w:rsidR="00EC1AEE" w:rsidRPr="00B406D8" w:rsidRDefault="00A32DF8" w:rsidP="00F214B7">
      <w:pPr>
        <w:pStyle w:val="BodyText"/>
        <w:spacing w:before="0" w:after="14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CpG O/E</m:t>
              </m:r>
            </m:e>
            <m:sub>
              <m:r>
                <m:rPr>
                  <m:nor/>
                </m:rPr>
                <w:rPr>
                  <w:rFonts w:ascii="Times New Roman" w:hAnsi="Times New Roman" w:cs="Times New Roman"/>
                </w:rPr>
                <m:t>correct</m:t>
              </m:r>
            </m:sub>
          </m:sSub>
          <m:r>
            <m:rPr>
              <m:sty m:val="p"/>
            </m:rPr>
            <w:rPr>
              <w:rFonts w:ascii="Cambria Math" w:hAnsi="Cambria Math" w:cs="Times New Roman"/>
            </w:rPr>
            <m:t>=</m:t>
          </m:r>
          <m:r>
            <w:rPr>
              <w:rFonts w:ascii="Cambria Math" w:hAnsi="Cambria Math" w:cs="Times New Roman"/>
            </w:rPr>
            <m:t>0.879</m:t>
          </m:r>
          <m:r>
            <m:rPr>
              <m:sty m:val="p"/>
            </m:rPr>
            <w:rPr>
              <w:rFonts w:ascii="Cambria Math" w:hAnsi="Cambria Math" w:cs="Times New Roman"/>
            </w:rPr>
            <m:t>±</m:t>
          </m:r>
          <m:r>
            <w:rPr>
              <w:rFonts w:ascii="Cambria Math" w:hAnsi="Cambria Math" w:cs="Times New Roman"/>
            </w:rPr>
            <m:t>0.062</m:t>
          </m:r>
        </m:oMath>
      </m:oMathPara>
    </w:p>
    <w:p w:rsidR="00EC1AEE" w:rsidRPr="00B406D8" w:rsidRDefault="00A32DF8" w:rsidP="00F214B7">
      <w:pPr>
        <w:pStyle w:val="FirstParagraph"/>
        <w:spacing w:before="0" w:after="14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CpG O/E</m:t>
              </m:r>
            </m:e>
            <m:sub>
              <m:r>
                <m:rPr>
                  <m:nor/>
                </m:rPr>
                <w:rPr>
                  <w:rFonts w:ascii="Times New Roman" w:hAnsi="Times New Roman" w:cs="Times New Roman"/>
                </w:rPr>
                <m:t>misclassified</m:t>
              </m:r>
            </m:sub>
          </m:sSub>
          <m:r>
            <m:rPr>
              <m:sty m:val="p"/>
            </m:rPr>
            <w:rPr>
              <w:rFonts w:ascii="Cambria Math" w:hAnsi="Cambria Math" w:cs="Times New Roman"/>
            </w:rPr>
            <m:t>=</m:t>
          </m:r>
          <m:r>
            <w:rPr>
              <w:rFonts w:ascii="Cambria Math" w:hAnsi="Cambria Math" w:cs="Times New Roman"/>
            </w:rPr>
            <m:t>0.589</m:t>
          </m:r>
          <m:r>
            <m:rPr>
              <m:sty m:val="p"/>
            </m:rPr>
            <w:rPr>
              <w:rFonts w:ascii="Cambria Math" w:hAnsi="Cambria Math" w:cs="Times New Roman"/>
            </w:rPr>
            <m:t>±</m:t>
          </m:r>
          <m:r>
            <w:rPr>
              <w:rFonts w:ascii="Cambria Math" w:hAnsi="Cambria Math" w:cs="Times New Roman"/>
            </w:rPr>
            <m:t>0.050</m:t>
          </m:r>
        </m:oMath>
      </m:oMathPara>
    </w:p>
    <w:p w:rsidR="00EC1AEE" w:rsidRPr="00B406D8" w:rsidRDefault="00B406D8" w:rsidP="00F214B7">
      <w:pPr>
        <w:pStyle w:val="FirstParagraph"/>
        <w:spacing w:before="0" w:after="140" w:line="480" w:lineRule="auto"/>
        <w:rPr>
          <w:rFonts w:ascii="Times New Roman" w:hAnsi="Times New Roman" w:cs="Times New Roman"/>
        </w:rPr>
      </w:pPr>
      <w:r>
        <w:rPr>
          <w:rFonts w:ascii="Times New Roman" w:hAnsi="Times New Roman" w:cs="Times New Roman"/>
        </w:rPr>
        <w:lastRenderedPageBreak/>
        <w:t>This difference was significant (</w:t>
      </w:r>
      <m:oMath>
        <m:r>
          <w:rPr>
            <w:rFonts w:ascii="Cambria Math" w:hAnsi="Cambria Math" w:cs="Times New Roman"/>
          </w:rPr>
          <m:t>U</m:t>
        </m:r>
        <m:r>
          <m:rPr>
            <m:sty m:val="p"/>
          </m:rPr>
          <w:rPr>
            <w:rFonts w:ascii="Cambria Math" w:hAnsi="Cambria Math" w:cs="Times New Roman"/>
          </w:rPr>
          <m:t>=</m:t>
        </m:r>
        <m:r>
          <w:rPr>
            <w:rFonts w:ascii="Cambria Math" w:hAnsi="Cambria Math" w:cs="Times New Roman"/>
          </w:rPr>
          <m:t>792</m:t>
        </m:r>
      </m:oMath>
      <w:r>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Pr>
          <w:rFonts w:ascii="Times New Roman" w:hAnsi="Times New Roman" w:cs="Times New Roman"/>
        </w:rPr>
        <w:t xml:space="preserv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4.72</m:t>
        </m:r>
      </m:oMath>
      <w:r>
        <w:rPr>
          <w:rFonts w:ascii="Times New Roman" w:hAnsi="Times New Roman" w:cs="Times New Roman"/>
        </w:rPr>
        <w:t>). Misclassified ISFVs showed intermediate values between correctly classified ISFVs (0.879) and dual-host viruses (0.427):</w:t>
      </w:r>
    </w:p>
    <w:p w:rsidR="00EC1AEE" w:rsidRPr="00B406D8" w:rsidRDefault="00A32DF8" w:rsidP="00F214B7">
      <w:pPr>
        <w:pStyle w:val="BodyText"/>
        <w:spacing w:before="0" w:after="14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CpG O/E</m:t>
              </m:r>
            </m:e>
            <m:sub>
              <m:r>
                <m:rPr>
                  <m:nor/>
                </m:rPr>
                <w:rPr>
                  <w:rFonts w:ascii="Times New Roman" w:hAnsi="Times New Roman" w:cs="Times New Roman"/>
                </w:rPr>
                <m:t>dual-host</m:t>
              </m:r>
            </m:sub>
          </m:sSub>
          <m:r>
            <m:rPr>
              <m:sty m:val="p"/>
            </m:rPr>
            <w:rPr>
              <w:rFonts w:ascii="Cambria Math" w:hAnsi="Cambria Math" w:cs="Times New Roman"/>
            </w:rPr>
            <m:t>&lt;</m:t>
          </m:r>
          <m:sSub>
            <m:sSubPr>
              <m:ctrlPr>
                <w:rPr>
                  <w:rFonts w:ascii="Cambria Math" w:hAnsi="Cambria Math" w:cs="Times New Roman"/>
                </w:rPr>
              </m:ctrlPr>
            </m:sSubPr>
            <m:e>
              <m:r>
                <m:rPr>
                  <m:nor/>
                </m:rPr>
                <w:rPr>
                  <w:rFonts w:ascii="Times New Roman" w:hAnsi="Times New Roman" w:cs="Times New Roman"/>
                </w:rPr>
                <m:t>CpG O/E</m:t>
              </m:r>
            </m:e>
            <m:sub>
              <m:r>
                <m:rPr>
                  <m:nor/>
                </m:rPr>
                <w:rPr>
                  <w:rFonts w:ascii="Times New Roman" w:hAnsi="Times New Roman" w:cs="Times New Roman"/>
                </w:rPr>
                <m:t>misclassified</m:t>
              </m:r>
            </m:sub>
          </m:sSub>
          <m:r>
            <m:rPr>
              <m:sty m:val="p"/>
            </m:rPr>
            <w:rPr>
              <w:rFonts w:ascii="Cambria Math" w:hAnsi="Cambria Math" w:cs="Times New Roman"/>
            </w:rPr>
            <m:t>&lt;</m:t>
          </m:r>
          <m:sSub>
            <m:sSubPr>
              <m:ctrlPr>
                <w:rPr>
                  <w:rFonts w:ascii="Cambria Math" w:hAnsi="Cambria Math" w:cs="Times New Roman"/>
                </w:rPr>
              </m:ctrlPr>
            </m:sSubPr>
            <m:e>
              <m:r>
                <m:rPr>
                  <m:nor/>
                </m:rPr>
                <w:rPr>
                  <w:rFonts w:ascii="Times New Roman" w:hAnsi="Times New Roman" w:cs="Times New Roman"/>
                </w:rPr>
                <m:t>CpG O/E</m:t>
              </m:r>
            </m:e>
            <m:sub>
              <m:r>
                <m:rPr>
                  <m:nor/>
                </m:rPr>
                <w:rPr>
                  <w:rFonts w:ascii="Times New Roman" w:hAnsi="Times New Roman" w:cs="Times New Roman"/>
                </w:rPr>
                <m:t>correct</m:t>
              </m:r>
            </m:sub>
          </m:sSub>
        </m:oMath>
      </m:oMathPara>
    </w:p>
    <w:p w:rsidR="00EC1AEE" w:rsidRPr="00B406D8" w:rsidRDefault="00B406D8" w:rsidP="00F214B7">
      <w:pPr>
        <w:pStyle w:val="FirstParagraph"/>
        <w:spacing w:before="0" w:after="140" w:line="480" w:lineRule="auto"/>
        <w:rPr>
          <w:rFonts w:ascii="Times New Roman" w:hAnsi="Times New Roman" w:cs="Times New Roman"/>
        </w:rPr>
      </w:pPr>
      <w:r>
        <w:rPr>
          <w:rFonts w:ascii="Times New Roman" w:hAnsi="Times New Roman" w:cs="Times New Roman"/>
        </w:rPr>
        <w:t>Individual species CpG O/E values: T’Ho virus (0.537), Kampung Karu virus (0.548), Chaoyang virus (0.636), Donggang virus (0.636).</w:t>
      </w:r>
    </w:p>
    <w:p w:rsidR="00EC1AEE" w:rsidRPr="00B406D8" w:rsidRDefault="00A32DF8" w:rsidP="00F214B7">
      <w:pPr>
        <w:pStyle w:val="BodyText"/>
        <w:spacing w:before="0" w:after="140" w:line="480" w:lineRule="auto"/>
        <w:rPr>
          <w:rFonts w:ascii="Times New Roman" w:hAnsi="Times New Roman" w:cs="Times New Roman"/>
        </w:rPr>
      </w:pPr>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CGT</m:t>
            </m:r>
          </m:sub>
        </m:sSub>
      </m:oMath>
      <w:r w:rsidR="008A1514">
        <w:rPr>
          <w:rFonts w:ascii="Times New Roman" w:hAnsi="Times New Roman" w:cs="Times New Roman"/>
        </w:rPr>
        <w:t xml:space="preserve"> was lower in misclassified ISFVs (</w:t>
      </w:r>
      <m:oMath>
        <m:r>
          <w:rPr>
            <w:rFonts w:ascii="Cambria Math" w:hAnsi="Cambria Math" w:cs="Times New Roman"/>
          </w:rPr>
          <m:t>0.633</m:t>
        </m:r>
        <m:r>
          <m:rPr>
            <m:sty m:val="p"/>
          </m:rPr>
          <w:rPr>
            <w:rFonts w:ascii="Cambria Math" w:hAnsi="Cambria Math" w:cs="Times New Roman"/>
          </w:rPr>
          <m:t>±</m:t>
        </m:r>
        <m:r>
          <w:rPr>
            <w:rFonts w:ascii="Cambria Math" w:hAnsi="Cambria Math" w:cs="Times New Roman"/>
          </w:rPr>
          <m:t>0.367</m:t>
        </m:r>
      </m:oMath>
      <w:r w:rsidR="008A1514">
        <w:rPr>
          <w:rFonts w:ascii="Times New Roman" w:hAnsi="Times New Roman" w:cs="Times New Roman"/>
        </w:rPr>
        <w:t>) versus correctly classified (</w:t>
      </w:r>
      <m:oMath>
        <m:r>
          <w:rPr>
            <w:rFonts w:ascii="Cambria Math" w:hAnsi="Cambria Math" w:cs="Times New Roman"/>
          </w:rPr>
          <m:t>0.959</m:t>
        </m:r>
        <m:r>
          <m:rPr>
            <m:sty m:val="p"/>
          </m:rPr>
          <w:rPr>
            <w:rFonts w:ascii="Cambria Math" w:hAnsi="Cambria Math" w:cs="Times New Roman"/>
          </w:rPr>
          <m:t>±</m:t>
        </m:r>
        <m:r>
          <w:rPr>
            <w:rFonts w:ascii="Cambria Math" w:hAnsi="Cambria Math" w:cs="Times New Roman"/>
          </w:rPr>
          <m:t>0.156</m:t>
        </m:r>
      </m:oMath>
      <w:r w:rsidR="008A1514">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0.019</m:t>
        </m:r>
      </m:oMath>
      <w:r w:rsidR="008A1514">
        <w:rPr>
          <w:rFonts w:ascii="Times New Roman" w:hAnsi="Times New Roman" w:cs="Times New Roman"/>
        </w:rPr>
        <w:t xml:space="preserv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1.84</m:t>
        </m:r>
      </m:oMath>
      <w:r w:rsidR="008A1514">
        <w:rPr>
          <w:rFonts w:ascii="Times New Roman" w:hAnsi="Times New Roman" w:cs="Times New Roman"/>
        </w:rPr>
        <w:t>). GC content was lower (</w:t>
      </w:r>
      <m:oMath>
        <m:r>
          <w:rPr>
            <w:rFonts w:ascii="Cambria Math" w:hAnsi="Cambria Math" w:cs="Times New Roman"/>
          </w:rPr>
          <m:t>49.0</m:t>
        </m:r>
        <m:r>
          <m:rPr>
            <m:sty m:val="p"/>
          </m:rPr>
          <w:rPr>
            <w:rFonts w:ascii="Cambria Math" w:hAnsi="Cambria Math" w:cs="Times New Roman"/>
          </w:rPr>
          <m:t>±</m:t>
        </m:r>
        <m:r>
          <w:rPr>
            <w:rFonts w:ascii="Cambria Math" w:hAnsi="Cambria Math" w:cs="Times New Roman"/>
          </w:rPr>
          <m:t>0.8</m:t>
        </m:r>
        <m:r>
          <m:rPr>
            <m:sty m:val="p"/>
          </m:rPr>
          <w:rPr>
            <w:rFonts w:ascii="Cambria Math" w:hAnsi="Cambria Math" w:cs="Times New Roman"/>
          </w:rPr>
          <m:t>%</m:t>
        </m:r>
      </m:oMath>
      <w:r w:rsidR="008A1514">
        <w:rPr>
          <w:rFonts w:ascii="Times New Roman" w:hAnsi="Times New Roman" w:cs="Times New Roman"/>
        </w:rPr>
        <w:t xml:space="preserve"> vs. </w:t>
      </w:r>
      <m:oMath>
        <m:r>
          <w:rPr>
            <w:rFonts w:ascii="Cambria Math" w:hAnsi="Cambria Math" w:cs="Times New Roman"/>
          </w:rPr>
          <m:t>51.6</m:t>
        </m:r>
        <m:r>
          <m:rPr>
            <m:sty m:val="p"/>
          </m:rPr>
          <w:rPr>
            <w:rFonts w:ascii="Cambria Math" w:hAnsi="Cambria Math" w:cs="Times New Roman"/>
          </w:rPr>
          <m:t>±</m:t>
        </m:r>
        <m:r>
          <w:rPr>
            <w:rFonts w:ascii="Cambria Math" w:hAnsi="Cambria Math" w:cs="Times New Roman"/>
          </w:rPr>
          <m:t>1.7</m:t>
        </m:r>
        <m:r>
          <m:rPr>
            <m:sty m:val="p"/>
          </m:rPr>
          <w:rPr>
            <w:rFonts w:ascii="Cambria Math" w:hAnsi="Cambria Math" w:cs="Times New Roman"/>
          </w:rPr>
          <m:t>%</m:t>
        </m:r>
      </m:oMath>
      <w:r w:rsidR="008A1514">
        <w:rPr>
          <w:rFonts w:ascii="Times New Roman" w:hAnsi="Times New Roman" w:cs="Times New Roman"/>
        </w:rPr>
        <w:t xml:space="preserve">;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sidR="008A1514">
        <w:rPr>
          <w:rFonts w:ascii="Times New Roman" w:hAnsi="Times New Roman" w:cs="Times New Roman"/>
        </w:rPr>
        <w:t xml:space="preserv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1.54</m:t>
        </m:r>
      </m:oMath>
      <w:r w:rsidR="008A1514">
        <w:rPr>
          <w:rFonts w:ascii="Times New Roman" w:hAnsi="Times New Roman" w:cs="Times New Roman"/>
        </w:rPr>
        <w:t>). Genome length did not differ significantly (</w:t>
      </w: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0.257</m:t>
        </m:r>
      </m:oMath>
      <w:r w:rsidR="008A1514">
        <w:rPr>
          <w:rFonts w:ascii="Times New Roman" w:hAnsi="Times New Roman" w:cs="Times New Roman"/>
        </w:rPr>
        <w:t>).</w:t>
      </w:r>
    </w:p>
    <w:p w:rsidR="00EC1AEE" w:rsidRDefault="0041781A">
      <w:pPr>
        <w:pStyle w:val="FirstParagraph"/>
      </w:pPr>
      <w:r>
        <w:rPr>
          <w:noProof/>
          <w:lang w:eastAsia="ko-KR"/>
        </w:rPr>
        <w:lastRenderedPageBreak/>
        <w:drawing>
          <wp:inline distT="0" distB="0" distL="0" distR="0">
            <wp:extent cx="3060065" cy="806386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6_publication.tiff"/>
                    <pic:cNvPicPr/>
                  </pic:nvPicPr>
                  <pic:blipFill>
                    <a:blip r:embed="rId13">
                      <a:extLst>
                        <a:ext uri="{28A0092B-C50C-407E-A947-70E740481C1C}">
                          <a14:useLocalDpi xmlns:a14="http://schemas.microsoft.com/office/drawing/2010/main" val="0"/>
                        </a:ext>
                      </a:extLst>
                    </a:blip>
                    <a:stretch>
                      <a:fillRect/>
                    </a:stretch>
                  </pic:blipFill>
                  <pic:spPr>
                    <a:xfrm>
                      <a:off x="0" y="0"/>
                      <a:ext cx="3060065" cy="8063865"/>
                    </a:xfrm>
                    <a:prstGeom prst="rect">
                      <a:avLst/>
                    </a:prstGeom>
                  </pic:spPr>
                </pic:pic>
              </a:graphicData>
            </a:graphic>
          </wp:inline>
        </w:drawing>
      </w:r>
    </w:p>
    <w:p w:rsidR="00EC1AEE" w:rsidRPr="00B406D8" w:rsidRDefault="00B406D8" w:rsidP="00F214B7">
      <w:pPr>
        <w:pStyle w:val="BodyText"/>
        <w:spacing w:before="0" w:after="140" w:line="480" w:lineRule="auto"/>
        <w:rPr>
          <w:rFonts w:ascii="Times New Roman" w:hAnsi="Times New Roman" w:cs="Times New Roman"/>
        </w:rPr>
      </w:pPr>
      <w:r>
        <w:rPr>
          <w:rFonts w:ascii="Times New Roman" w:hAnsi="Times New Roman" w:cs="Times New Roman"/>
          <w:b/>
          <w:bCs/>
        </w:rPr>
        <w:lastRenderedPageBreak/>
        <w:t>Fig. 6. Per-species predictions and misclassified ISFV analysis.</w:t>
      </w:r>
      <w:r>
        <w:rPr>
          <w:rFonts w:ascii="Times New Roman" w:hAnsi="Times New Roman" w:cs="Times New Roman"/>
        </w:rPr>
        <w:t xml:space="preserve"> (A) Per-species predicted </w:t>
      </w:r>
      <m:oMath>
        <m:r>
          <w:rPr>
            <w:rFonts w:ascii="Cambria Math" w:hAnsi="Cambria Math" w:cs="Times New Roman"/>
          </w:rPr>
          <m:t>P</m:t>
        </m:r>
        <m:d>
          <m:dPr>
            <m:ctrlPr>
              <w:rPr>
                <w:rFonts w:ascii="Cambria Math" w:hAnsi="Cambria Math" w:cs="Times New Roman"/>
              </w:rPr>
            </m:ctrlPr>
          </m:dPr>
          <m:e>
            <m:r>
              <m:rPr>
                <m:nor/>
              </m:rPr>
              <w:rPr>
                <w:rFonts w:ascii="Times New Roman" w:hAnsi="Times New Roman" w:cs="Times New Roman"/>
              </w:rPr>
              <m:t>dual-host</m:t>
            </m:r>
          </m:e>
        </m:d>
      </m:oMath>
      <w:r>
        <w:rPr>
          <w:rFonts w:ascii="Times New Roman" w:hAnsi="Times New Roman" w:cs="Times New Roman"/>
        </w:rPr>
        <w:t xml:space="preserve"> for 53 species. Error bars: SD. Species sorted by host range and predicted probability. Blue: correctly classified ISFVs; red: correctly classified dual-host; orange: misclassified. Parentheses: genome count. Dashed line: threshold (0.5). (B) Feature comparison between correctly classified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99</m:t>
        </m:r>
      </m:oMath>
      <w:r>
        <w:rPr>
          <w:rFonts w:ascii="Times New Roman" w:hAnsi="Times New Roman" w:cs="Times New Roman"/>
        </w:rPr>
        <w:t>) and misclassified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8</m:t>
        </m:r>
      </m:oMath>
      <w:r>
        <w:rPr>
          <w:rFonts w:ascii="Times New Roman" w:hAnsi="Times New Roman" w:cs="Times New Roman"/>
        </w:rPr>
        <w:t>) ISFV genomes. Misclassified ISFVs show lower CpG O/E (</w:t>
      </w:r>
      <m:oMath>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Pr>
          <w:rFonts w:ascii="Times New Roman" w:hAnsi="Times New Roman" w:cs="Times New Roman"/>
        </w:rPr>
        <w:t xml:space="preserve">,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4.72</m:t>
        </m:r>
      </m:oMath>
      <w:r>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m:t>
            </m:r>
          </m:e>
          <m:sup>
            <m:r>
              <m:rPr>
                <m:sty m:val="p"/>
              </m:rPr>
              <w:rPr>
                <w:rFonts w:ascii="Cambria Math" w:hAnsi="Cambria Math" w:cs="Times New Roman"/>
              </w:rPr>
              <m:t>***</m:t>
            </m:r>
          </m:sup>
        </m:sSup>
        <m:r>
          <w:rPr>
            <w:rFonts w:ascii="Cambria Math" w:hAnsi="Cambria Math" w:cs="Times New Roman"/>
          </w:rPr>
          <m:t>p</m:t>
        </m:r>
        <m:r>
          <m:rPr>
            <m:sty m:val="p"/>
          </m:rPr>
          <w:rPr>
            <w:rFonts w:ascii="Cambria Math" w:hAnsi="Cambria Math" w:cs="Times New Roman"/>
          </w:rPr>
          <m:t>&lt;</m:t>
        </m:r>
        <m:r>
          <w:rPr>
            <w:rFonts w:ascii="Cambria Math" w:hAnsi="Cambria Math" w:cs="Times New Roman"/>
          </w:rPr>
          <m:t>0.001</m:t>
        </m:r>
      </m:oMath>
      <w:r>
        <w:rPr>
          <w:rFonts w:ascii="Times New Roman" w:hAnsi="Times New Roman" w:cs="Times New Roman"/>
        </w:rPr>
        <w:t xml:space="preserve">; </w:t>
      </w:r>
      <m:oMath>
        <m:sSup>
          <m:sSupPr>
            <m:ctrlPr>
              <w:rPr>
                <w:rFonts w:ascii="Cambria Math" w:hAnsi="Cambria Math" w:cs="Times New Roman"/>
              </w:rPr>
            </m:ctrlPr>
          </m:sSupPr>
          <m:e>
            <m:r>
              <w:rPr>
                <w:rFonts w:ascii="Cambria Math" w:hAnsi="Cambria Math" w:cs="Times New Roman"/>
              </w:rPr>
              <m:t>​</m:t>
            </m:r>
          </m:e>
          <m:sup>
            <m:r>
              <m:rPr>
                <m:sty m:val="p"/>
              </m:rPr>
              <w:rPr>
                <w:rFonts w:ascii="Cambria Math" w:hAnsi="Cambria Math" w:cs="Times New Roman"/>
              </w:rPr>
              <m:t>*</m:t>
            </m:r>
          </m:sup>
        </m:sSup>
        <m:r>
          <w:rPr>
            <w:rFonts w:ascii="Cambria Math" w:hAnsi="Cambria Math" w:cs="Times New Roman"/>
          </w:rPr>
          <m:t>p</m:t>
        </m:r>
        <m:r>
          <m:rPr>
            <m:sty m:val="p"/>
          </m:rPr>
          <w:rPr>
            <w:rFonts w:ascii="Cambria Math" w:hAnsi="Cambria Math" w:cs="Times New Roman"/>
          </w:rPr>
          <m:t>&lt;</m:t>
        </m:r>
        <m:r>
          <w:rPr>
            <w:rFonts w:ascii="Cambria Math" w:hAnsi="Cambria Math" w:cs="Times New Roman"/>
          </w:rPr>
          <m:t>0.05</m:t>
        </m:r>
      </m:oMath>
      <w:r>
        <w:rPr>
          <w:rFonts w:ascii="Times New Roman" w:hAnsi="Times New Roman" w:cs="Times New Roman"/>
        </w:rPr>
        <w:t>; ns, not significant.</w:t>
      </w:r>
    </w:p>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b/>
          <w:bCs/>
        </w:rPr>
        <w:t>Table 2. Compositional comparison: correctly classified versus misclassified ISFVs</w:t>
      </w:r>
    </w:p>
    <w:tbl>
      <w:tblPr>
        <w:tblStyle w:val="Table"/>
        <w:tblW w:w="5000" w:type="pct"/>
        <w:tblLook w:val="0020" w:firstRow="1" w:lastRow="0" w:firstColumn="0" w:lastColumn="0" w:noHBand="0" w:noVBand="0"/>
      </w:tblPr>
      <w:tblGrid>
        <w:gridCol w:w="2073"/>
        <w:gridCol w:w="1987"/>
        <w:gridCol w:w="2592"/>
        <w:gridCol w:w="1247"/>
        <w:gridCol w:w="1461"/>
      </w:tblGrid>
      <w:tr w:rsidR="00EC1AEE" w:rsidRPr="00B406D8" w:rsidTr="00EC1AEE">
        <w:trPr>
          <w:cnfStyle w:val="100000000000" w:firstRow="1" w:lastRow="0" w:firstColumn="0" w:lastColumn="0" w:oddVBand="0" w:evenVBand="0" w:oddHBand="0" w:evenHBand="0" w:firstRowFirstColumn="0" w:firstRowLastColumn="0" w:lastRowFirstColumn="0" w:lastRowLastColumn="0"/>
          <w:tblHeader/>
        </w:trPr>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Feature</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Correct ISFVs</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Misclassified ISFVs</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
              <m:r>
                <w:rPr>
                  <w:rFonts w:ascii="Cambria Math" w:hAnsi="Cambria Math" w:cs="Times New Roman"/>
                </w:rPr>
                <m:t>p</m:t>
              </m:r>
            </m:oMath>
            <w:r>
              <w:rPr>
                <w:rFonts w:ascii="Times New Roman" w:hAnsi="Times New Roman" w:cs="Times New Roman"/>
              </w:rPr>
              <w:t>-value</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 xml:space="preserve">Cohen’s </w:t>
            </w:r>
            <m:oMath>
              <m:r>
                <w:rPr>
                  <w:rFonts w:ascii="Cambria Math" w:hAnsi="Cambria Math" w:cs="Times New Roman"/>
                </w:rPr>
                <m:t>d</m:t>
              </m:r>
            </m:oMath>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CpG O/E</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Para>
              <m:oMath>
                <m:r>
                  <w:rPr>
                    <w:rFonts w:ascii="Cambria Math" w:hAnsi="Cambria Math" w:cs="Times New Roman"/>
                  </w:rPr>
                  <m:t>0.879</m:t>
                </m:r>
                <m:r>
                  <m:rPr>
                    <m:sty m:val="p"/>
                  </m:rPr>
                  <w:rPr>
                    <w:rFonts w:ascii="Cambria Math" w:hAnsi="Cambria Math" w:cs="Times New Roman"/>
                  </w:rPr>
                  <m:t>±</m:t>
                </m:r>
                <m:r>
                  <w:rPr>
                    <w:rFonts w:ascii="Cambria Math" w:hAnsi="Cambria Math" w:cs="Times New Roman"/>
                  </w:rPr>
                  <m:t>0.062</m:t>
                </m:r>
              </m:oMath>
            </m:oMathPara>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Para>
              <m:oMath>
                <m:r>
                  <w:rPr>
                    <w:rFonts w:ascii="Cambria Math" w:hAnsi="Cambria Math" w:cs="Times New Roman"/>
                  </w:rPr>
                  <m:t>0.589</m:t>
                </m:r>
                <m:r>
                  <m:rPr>
                    <m:sty m:val="p"/>
                  </m:rPr>
                  <w:rPr>
                    <w:rFonts w:ascii="Cambria Math" w:hAnsi="Cambria Math" w:cs="Times New Roman"/>
                  </w:rPr>
                  <m:t>±</m:t>
                </m:r>
                <m:r>
                  <w:rPr>
                    <w:rFonts w:ascii="Cambria Math" w:hAnsi="Cambria Math" w:cs="Times New Roman"/>
                  </w:rPr>
                  <m:t>0.050</m:t>
                </m:r>
              </m:oMath>
            </m:oMathPara>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Para>
              <m:oMath>
                <m:r>
                  <m:rPr>
                    <m:sty m:val="p"/>
                  </m:rPr>
                  <w:rPr>
                    <w:rFonts w:ascii="Cambria Math" w:hAnsi="Cambria Math" w:cs="Times New Roman"/>
                  </w:rPr>
                  <m:t>&lt;</m:t>
                </m:r>
                <m:r>
                  <w:rPr>
                    <w:rFonts w:ascii="Cambria Math" w:hAnsi="Cambria Math" w:cs="Times New Roman"/>
                  </w:rPr>
                  <m:t>0.001</m:t>
                </m:r>
              </m:oMath>
            </m:oMathPara>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4.72</w:t>
            </w:r>
          </w:p>
        </w:tc>
      </w:tr>
      <w:tr w:rsidR="00EC1AEE" w:rsidRPr="00B406D8">
        <w:tc>
          <w:tcPr>
            <w:tcW w:w="0" w:type="auto"/>
          </w:tcPr>
          <w:p w:rsidR="00EC1AEE" w:rsidRPr="00B406D8" w:rsidRDefault="00A32DF8" w:rsidP="00B406D8">
            <w:pPr>
              <w:pStyle w:val="Compact"/>
              <w:spacing w:before="0" w:after="0" w:line="480" w:lineRule="auto"/>
              <w:rPr>
                <w:rFonts w:ascii="Times New Roman" w:hAnsi="Times New Roman" w:cs="Times New Roman"/>
              </w:rPr>
            </w:pPr>
            <m:oMathPara>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CGT</m:t>
                    </m:r>
                  </m:sub>
                </m:sSub>
              </m:oMath>
            </m:oMathPara>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Para>
              <m:oMath>
                <m:r>
                  <w:rPr>
                    <w:rFonts w:ascii="Cambria Math" w:hAnsi="Cambria Math" w:cs="Times New Roman"/>
                  </w:rPr>
                  <m:t>0.959</m:t>
                </m:r>
                <m:r>
                  <m:rPr>
                    <m:sty m:val="p"/>
                  </m:rPr>
                  <w:rPr>
                    <w:rFonts w:ascii="Cambria Math" w:hAnsi="Cambria Math" w:cs="Times New Roman"/>
                  </w:rPr>
                  <m:t>±</m:t>
                </m:r>
                <m:r>
                  <w:rPr>
                    <w:rFonts w:ascii="Cambria Math" w:hAnsi="Cambria Math" w:cs="Times New Roman"/>
                  </w:rPr>
                  <m:t>0.156</m:t>
                </m:r>
              </m:oMath>
            </m:oMathPara>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Para>
              <m:oMath>
                <m:r>
                  <w:rPr>
                    <w:rFonts w:ascii="Cambria Math" w:hAnsi="Cambria Math" w:cs="Times New Roman"/>
                  </w:rPr>
                  <m:t>0.633</m:t>
                </m:r>
                <m:r>
                  <m:rPr>
                    <m:sty m:val="p"/>
                  </m:rPr>
                  <w:rPr>
                    <w:rFonts w:ascii="Cambria Math" w:hAnsi="Cambria Math" w:cs="Times New Roman"/>
                  </w:rPr>
                  <m:t>±</m:t>
                </m:r>
                <m:r>
                  <w:rPr>
                    <w:rFonts w:ascii="Cambria Math" w:hAnsi="Cambria Math" w:cs="Times New Roman"/>
                  </w:rPr>
                  <m:t>0.367</m:t>
                </m:r>
              </m:oMath>
            </m:oMathPara>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0.019</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1.84</w:t>
            </w:r>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GC content (%)</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Para>
              <m:oMath>
                <m:r>
                  <w:rPr>
                    <w:rFonts w:ascii="Cambria Math" w:hAnsi="Cambria Math" w:cs="Times New Roman"/>
                  </w:rPr>
                  <m:t>51.6</m:t>
                </m:r>
                <m:r>
                  <m:rPr>
                    <m:sty m:val="p"/>
                  </m:rPr>
                  <w:rPr>
                    <w:rFonts w:ascii="Cambria Math" w:hAnsi="Cambria Math" w:cs="Times New Roman"/>
                  </w:rPr>
                  <m:t>±</m:t>
                </m:r>
                <m:r>
                  <w:rPr>
                    <w:rFonts w:ascii="Cambria Math" w:hAnsi="Cambria Math" w:cs="Times New Roman"/>
                  </w:rPr>
                  <m:t>1.7</m:t>
                </m:r>
              </m:oMath>
            </m:oMathPara>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Para>
              <m:oMath>
                <m:r>
                  <w:rPr>
                    <w:rFonts w:ascii="Cambria Math" w:hAnsi="Cambria Math" w:cs="Times New Roman"/>
                  </w:rPr>
                  <m:t>49.0</m:t>
                </m:r>
                <m:r>
                  <m:rPr>
                    <m:sty m:val="p"/>
                  </m:rPr>
                  <w:rPr>
                    <w:rFonts w:ascii="Cambria Math" w:hAnsi="Cambria Math" w:cs="Times New Roman"/>
                  </w:rPr>
                  <m:t>±</m:t>
                </m:r>
                <m:r>
                  <w:rPr>
                    <w:rFonts w:ascii="Cambria Math" w:hAnsi="Cambria Math" w:cs="Times New Roman"/>
                  </w:rPr>
                  <m:t>0.8</m:t>
                </m:r>
              </m:oMath>
            </m:oMathPara>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Para>
              <m:oMath>
                <m:r>
                  <m:rPr>
                    <m:sty m:val="p"/>
                  </m:rPr>
                  <w:rPr>
                    <w:rFonts w:ascii="Cambria Math" w:hAnsi="Cambria Math" w:cs="Times New Roman"/>
                  </w:rPr>
                  <m:t>&lt;</m:t>
                </m:r>
                <m:r>
                  <w:rPr>
                    <w:rFonts w:ascii="Cambria Math" w:hAnsi="Cambria Math" w:cs="Times New Roman"/>
                  </w:rPr>
                  <m:t>0.001</m:t>
                </m:r>
              </m:oMath>
            </m:oMathPara>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1.54</w:t>
            </w:r>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UpA O/E</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0.045</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m:oMathPara>
              <m:oMath>
                <m:r>
                  <m:rPr>
                    <m:sty m:val="p"/>
                  </m:rPr>
                  <w:rPr>
                    <w:rFonts w:ascii="Cambria Math" w:hAnsi="Cambria Math" w:cs="Times New Roman"/>
                  </w:rPr>
                  <m:t>-</m:t>
                </m:r>
                <m:r>
                  <w:rPr>
                    <w:rFonts w:ascii="Cambria Math" w:hAnsi="Cambria Math" w:cs="Times New Roman"/>
                  </w:rPr>
                  <m:t>0.70</m:t>
                </m:r>
              </m:oMath>
            </m:oMathPara>
          </w:p>
        </w:tc>
      </w:tr>
      <w:tr w:rsidR="00EC1AEE" w:rsidRPr="00B406D8">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Genome length</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0.257</w:t>
            </w:r>
          </w:p>
        </w:tc>
        <w:tc>
          <w:tcPr>
            <w:tcW w:w="0" w:type="auto"/>
          </w:tcPr>
          <w:p w:rsidR="00EC1AEE" w:rsidRPr="00B406D8" w:rsidRDefault="00B406D8" w:rsidP="00B406D8">
            <w:pPr>
              <w:pStyle w:val="Compact"/>
              <w:spacing w:before="0" w:after="0" w:line="480" w:lineRule="auto"/>
              <w:rPr>
                <w:rFonts w:ascii="Times New Roman" w:hAnsi="Times New Roman" w:cs="Times New Roman"/>
              </w:rPr>
            </w:pPr>
            <w:r>
              <w:rPr>
                <w:rFonts w:ascii="Times New Roman" w:hAnsi="Times New Roman" w:cs="Times New Roman"/>
              </w:rPr>
              <w:t>ns</w:t>
            </w:r>
          </w:p>
        </w:tc>
      </w:tr>
    </w:tbl>
    <w:p w:rsidR="00EC1AEE" w:rsidRPr="00B406D8" w:rsidRDefault="00B406D8" w:rsidP="00B406D8">
      <w:pPr>
        <w:pStyle w:val="BodyText"/>
        <w:spacing w:before="0" w:after="0" w:line="480" w:lineRule="auto"/>
        <w:rPr>
          <w:rFonts w:ascii="Times New Roman" w:hAnsi="Times New Roman" w:cs="Times New Roman"/>
        </w:rPr>
      </w:pPr>
      <w:r>
        <w:rPr>
          <w:rFonts w:ascii="Times New Roman" w:hAnsi="Times New Roman" w:cs="Times New Roman"/>
        </w:rPr>
        <w:t xml:space="preserve">Correctly classified: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99</m:t>
        </m:r>
      </m:oMath>
      <w:r>
        <w:rPr>
          <w:rFonts w:ascii="Times New Roman" w:hAnsi="Times New Roman" w:cs="Times New Roman"/>
        </w:rPr>
        <w:t xml:space="preserve"> genomes (20 species). Misclassified: </w:t>
      </w:r>
      <m:oMath>
        <m:r>
          <w:rPr>
            <w:rFonts w:ascii="Cambria Math" w:hAnsi="Cambria Math" w:cs="Times New Roman"/>
          </w:rPr>
          <m:t>n</m:t>
        </m:r>
        <m:r>
          <m:rPr>
            <m:sty m:val="p"/>
          </m:rPr>
          <w:rPr>
            <w:rFonts w:ascii="Cambria Math" w:hAnsi="Cambria Math" w:cs="Times New Roman"/>
          </w:rPr>
          <m:t>=</m:t>
        </m:r>
        <m:r>
          <w:rPr>
            <w:rFonts w:ascii="Cambria Math" w:hAnsi="Cambria Math" w:cs="Times New Roman"/>
          </w:rPr>
          <m:t>8</m:t>
        </m:r>
      </m:oMath>
      <w:r>
        <w:rPr>
          <w:rFonts w:ascii="Times New Roman" w:hAnsi="Times New Roman" w:cs="Times New Roman"/>
        </w:rPr>
        <w:t xml:space="preserve"> genomes (4 species). Values: mean </w:t>
      </w:r>
      <m:oMath>
        <m:r>
          <m:rPr>
            <m:sty m:val="p"/>
          </m:rPr>
          <w:rPr>
            <w:rFonts w:ascii="Cambria Math" w:hAnsi="Cambria Math" w:cs="Times New Roman"/>
          </w:rPr>
          <m:t>±</m:t>
        </m:r>
      </m:oMath>
      <w:r>
        <w:rPr>
          <w:rFonts w:ascii="Times New Roman" w:hAnsi="Times New Roman" w:cs="Times New Roman"/>
        </w:rPr>
        <w:t xml:space="preserve"> SD. Mann-Whitney </w:t>
      </w:r>
      <m:oMath>
        <m:r>
          <w:rPr>
            <w:rFonts w:ascii="Cambria Math" w:hAnsi="Cambria Math" w:cs="Times New Roman"/>
          </w:rPr>
          <m:t>U</m:t>
        </m:r>
      </m:oMath>
      <w:r>
        <w:rPr>
          <w:rFonts w:ascii="Times New Roman" w:hAnsi="Times New Roman" w:cs="Times New Roman"/>
        </w:rPr>
        <w:t xml:space="preserve"> test.</w:t>
      </w:r>
    </w:p>
    <w:p w:rsidR="00EC1AEE" w:rsidRPr="00B406D8" w:rsidRDefault="00B406D8" w:rsidP="00464497">
      <w:pPr>
        <w:pStyle w:val="Heading3"/>
        <w:spacing w:before="0" w:after="140" w:line="480" w:lineRule="auto"/>
        <w:rPr>
          <w:rFonts w:ascii="Times New Roman" w:hAnsi="Times New Roman" w:cs="Times New Roman"/>
        </w:rPr>
      </w:pPr>
      <w:bookmarkStart w:id="27" w:name="Xd9d921e0d339ca79ba322f594138b80e0ef559c"/>
      <w:bookmarkEnd w:id="26"/>
      <w:r>
        <w:rPr>
          <w:rFonts w:ascii="Times New Roman" w:hAnsi="Times New Roman" w:cs="Times New Roman"/>
        </w:rPr>
        <w:t xml:space="preserve">Compositional features discriminate </w:t>
      </w:r>
      <w:r>
        <w:rPr>
          <w:rFonts w:ascii="Times New Roman" w:hAnsi="Times New Roman" w:cs="Times New Roman"/>
          <w:i/>
          <w:iCs/>
        </w:rPr>
        <w:t>Flaviviridae</w:t>
      </w:r>
      <w:r>
        <w:rPr>
          <w:rFonts w:ascii="Times New Roman" w:hAnsi="Times New Roman" w:cs="Times New Roman"/>
        </w:rPr>
        <w:t xml:space="preserve"> genera</w:t>
      </w:r>
    </w:p>
    <w:p w:rsidR="00EC1AEE" w:rsidRPr="00B406D8" w:rsidRDefault="00B406D8" w:rsidP="00464497">
      <w:pPr>
        <w:pStyle w:val="FirstParagraph"/>
        <w:spacing w:before="0" w:after="140" w:line="480" w:lineRule="auto"/>
        <w:rPr>
          <w:rFonts w:ascii="Times New Roman" w:hAnsi="Times New Roman" w:cs="Times New Roman"/>
        </w:rPr>
      </w:pPr>
      <w:r>
        <w:rPr>
          <w:rFonts w:ascii="Times New Roman" w:hAnsi="Times New Roman" w:cs="Times New Roman"/>
        </w:rPr>
        <w:t>We extended classification to genus-level discrimination using 3,458 genomes from 299 species across four genera (Fig. 7A). Five-fold species-stratified cross-validation with balanced class weights yielded:</w:t>
      </w:r>
    </w:p>
    <w:p w:rsidR="00EC1AEE" w:rsidRPr="00B406D8" w:rsidRDefault="00A32DF8" w:rsidP="00464497">
      <w:pPr>
        <w:pStyle w:val="BodyText"/>
        <w:spacing w:before="0" w:after="14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Balanced Accuracy</m:t>
              </m:r>
            </m:e>
            <m:sub>
              <m:r>
                <m:rPr>
                  <m:nor/>
                </m:rPr>
                <w:rPr>
                  <w:rFonts w:ascii="Times New Roman" w:hAnsi="Times New Roman" w:cs="Times New Roman"/>
                </w:rPr>
                <m:t>RF</m:t>
              </m:r>
            </m:sub>
          </m:sSub>
          <m:r>
            <m:rPr>
              <m:sty m:val="p"/>
            </m:rPr>
            <w:rPr>
              <w:rFonts w:ascii="Cambria Math" w:hAnsi="Cambria Math" w:cs="Times New Roman"/>
            </w:rPr>
            <m:t>=</m:t>
          </m:r>
          <m:r>
            <w:rPr>
              <w:rFonts w:ascii="Cambria Math" w:hAnsi="Cambria Math" w:cs="Times New Roman"/>
            </w:rPr>
            <m:t>0.980</m:t>
          </m:r>
          <m:r>
            <m:rPr>
              <m:sty m:val="p"/>
            </m:rPr>
            <w:rPr>
              <w:rFonts w:ascii="Cambria Math" w:hAnsi="Cambria Math" w:cs="Times New Roman"/>
            </w:rPr>
            <m:t>±</m:t>
          </m:r>
          <m:r>
            <w:rPr>
              <w:rFonts w:ascii="Cambria Math" w:hAnsi="Cambria Math" w:cs="Times New Roman"/>
            </w:rPr>
            <m:t>0.020</m:t>
          </m:r>
        </m:oMath>
      </m:oMathPara>
    </w:p>
    <w:p w:rsidR="00EC1AEE" w:rsidRPr="00B406D8" w:rsidRDefault="00A32DF8" w:rsidP="00464497">
      <w:pPr>
        <w:pStyle w:val="FirstParagraph"/>
        <w:spacing w:before="0" w:after="140" w:line="480" w:lineRule="auto"/>
        <w:rPr>
          <w:rFonts w:ascii="Times New Roman" w:hAnsi="Times New Roman" w:cs="Times New Roman"/>
        </w:rPr>
      </w:pPr>
      <m:oMathPara>
        <m:oMathParaPr>
          <m:jc m:val="center"/>
        </m:oMathParaPr>
        <m:oMath>
          <m:sSub>
            <m:sSubPr>
              <m:ctrlPr>
                <w:rPr>
                  <w:rFonts w:ascii="Cambria Math" w:hAnsi="Cambria Math" w:cs="Times New Roman"/>
                </w:rPr>
              </m:ctrlPr>
            </m:sSubPr>
            <m:e>
              <m:r>
                <m:rPr>
                  <m:nor/>
                </m:rPr>
                <w:rPr>
                  <w:rFonts w:ascii="Times New Roman" w:hAnsi="Times New Roman" w:cs="Times New Roman"/>
                </w:rPr>
                <m:t>Macro F1</m:t>
              </m:r>
            </m:e>
            <m:sub>
              <m:r>
                <m:rPr>
                  <m:nor/>
                </m:rPr>
                <w:rPr>
                  <w:rFonts w:ascii="Times New Roman" w:hAnsi="Times New Roman" w:cs="Times New Roman"/>
                </w:rPr>
                <m:t>RF</m:t>
              </m:r>
            </m:sub>
          </m:sSub>
          <m:r>
            <m:rPr>
              <m:sty m:val="p"/>
            </m:rPr>
            <w:rPr>
              <w:rFonts w:ascii="Cambria Math" w:hAnsi="Cambria Math" w:cs="Times New Roman"/>
            </w:rPr>
            <m:t>=</m:t>
          </m:r>
          <m:r>
            <w:rPr>
              <w:rFonts w:ascii="Cambria Math" w:hAnsi="Cambria Math" w:cs="Times New Roman"/>
            </w:rPr>
            <m:t>0.984</m:t>
          </m:r>
          <m:r>
            <m:rPr>
              <m:sty m:val="p"/>
            </m:rPr>
            <w:rPr>
              <w:rFonts w:ascii="Cambria Math" w:hAnsi="Cambria Math" w:cs="Times New Roman"/>
            </w:rPr>
            <m:t>±</m:t>
          </m:r>
          <m:r>
            <w:rPr>
              <w:rFonts w:ascii="Cambria Math" w:hAnsi="Cambria Math" w:cs="Times New Roman"/>
            </w:rPr>
            <m:t>0.013</m:t>
          </m:r>
        </m:oMath>
      </m:oMathPara>
    </w:p>
    <w:p w:rsidR="00EC1AEE" w:rsidRPr="00B406D8" w:rsidRDefault="00B406D8" w:rsidP="00464497">
      <w:pPr>
        <w:pStyle w:val="FirstParagraph"/>
        <w:spacing w:before="0" w:after="140" w:line="480" w:lineRule="auto"/>
        <w:rPr>
          <w:rFonts w:ascii="Times New Roman" w:hAnsi="Times New Roman" w:cs="Times New Roman"/>
        </w:rPr>
      </w:pPr>
      <w:r>
        <w:rPr>
          <w:rFonts w:ascii="Times New Roman" w:hAnsi="Times New Roman" w:cs="Times New Roman"/>
        </w:rPr>
        <w:lastRenderedPageBreak/>
        <w:t xml:space="preserve">Logistic regression performed comparably (balanced accuracy: </w:t>
      </w:r>
      <m:oMath>
        <m:r>
          <w:rPr>
            <w:rFonts w:ascii="Cambria Math" w:hAnsi="Cambria Math" w:cs="Times New Roman"/>
          </w:rPr>
          <m:t>0.979</m:t>
        </m:r>
        <m:r>
          <m:rPr>
            <m:sty m:val="p"/>
          </m:rPr>
          <w:rPr>
            <w:rFonts w:ascii="Cambria Math" w:hAnsi="Cambria Math" w:cs="Times New Roman"/>
          </w:rPr>
          <m:t>±</m:t>
        </m:r>
        <m:r>
          <w:rPr>
            <w:rFonts w:ascii="Cambria Math" w:hAnsi="Cambria Math" w:cs="Times New Roman"/>
          </w:rPr>
          <m:t>0.020</m:t>
        </m:r>
      </m:oMath>
      <w:r>
        <w:rPr>
          <w:rFonts w:ascii="Times New Roman" w:hAnsi="Times New Roman" w:cs="Times New Roman"/>
        </w:rPr>
        <w:t xml:space="preserve">; macro F1: </w:t>
      </w:r>
      <m:oMath>
        <m:r>
          <w:rPr>
            <w:rFonts w:ascii="Cambria Math" w:hAnsi="Cambria Math" w:cs="Times New Roman"/>
          </w:rPr>
          <m:t>0.983</m:t>
        </m:r>
        <m:r>
          <m:rPr>
            <m:sty m:val="p"/>
          </m:rPr>
          <w:rPr>
            <w:rFonts w:ascii="Cambria Math" w:hAnsi="Cambria Math" w:cs="Times New Roman"/>
          </w:rPr>
          <m:t>±</m:t>
        </m:r>
        <m:r>
          <w:rPr>
            <w:rFonts w:ascii="Cambria Math" w:hAnsi="Cambria Math" w:cs="Times New Roman"/>
          </w:rPr>
          <m:t>0.014</m:t>
        </m:r>
      </m:oMath>
      <w:r>
        <w:rPr>
          <w:rFonts w:ascii="Times New Roman" w:hAnsi="Times New Roman" w:cs="Times New Roman"/>
        </w:rPr>
        <w:t>), substantially exceeding the random baseline of 0.25.</w:t>
      </w:r>
    </w:p>
    <w:p w:rsidR="00EC1AEE" w:rsidRPr="00B406D8" w:rsidRDefault="00B406D8" w:rsidP="00464497">
      <w:pPr>
        <w:pStyle w:val="BodyText"/>
        <w:spacing w:before="0" w:after="140" w:line="480" w:lineRule="auto"/>
        <w:rPr>
          <w:rFonts w:ascii="Times New Roman" w:hAnsi="Times New Roman" w:cs="Times New Roman"/>
        </w:rPr>
      </w:pPr>
      <w:r>
        <w:rPr>
          <w:rFonts w:ascii="Times New Roman" w:hAnsi="Times New Roman" w:cs="Times New Roman"/>
        </w:rPr>
        <w:t>P</w:t>
      </w:r>
      <w:r w:rsidR="00FE794D">
        <w:rPr>
          <w:rFonts w:ascii="Times New Roman" w:hAnsi="Times New Roman" w:cs="Times New Roman"/>
        </w:rPr>
        <w:t>er-class F1 scores exceeded 0.96</w:t>
      </w:r>
      <w:r>
        <w:rPr>
          <w:rFonts w:ascii="Times New Roman" w:hAnsi="Times New Roman" w:cs="Times New Roman"/>
        </w:rPr>
        <w:t xml:space="preserve"> for all genera (Fig. 7B):</w:t>
      </w:r>
    </w:p>
    <w:p w:rsidR="00EC1AEE" w:rsidRPr="00B406D8" w:rsidRDefault="00B406D8" w:rsidP="00464497">
      <w:pPr>
        <w:pStyle w:val="Compact"/>
        <w:numPr>
          <w:ilvl w:val="0"/>
          <w:numId w:val="5"/>
        </w:numPr>
        <w:spacing w:before="0" w:after="140" w:line="480" w:lineRule="auto"/>
        <w:rPr>
          <w:rFonts w:ascii="Times New Roman" w:hAnsi="Times New Roman" w:cs="Times New Roman"/>
        </w:rPr>
      </w:pPr>
      <w:r>
        <w:rPr>
          <w:rFonts w:ascii="Times New Roman" w:hAnsi="Times New Roman" w:cs="Times New Roman"/>
          <w:i/>
          <w:iCs/>
        </w:rPr>
        <w:t>Flavivirus</w:t>
      </w:r>
      <w:r>
        <w:rPr>
          <w:rFonts w:ascii="Times New Roman" w:hAnsi="Times New Roman" w:cs="Times New Roman"/>
        </w:rPr>
        <w:t>: 0.997</w:t>
      </w:r>
    </w:p>
    <w:p w:rsidR="00EC1AEE" w:rsidRPr="00B406D8" w:rsidRDefault="00B406D8" w:rsidP="00464497">
      <w:pPr>
        <w:pStyle w:val="Compact"/>
        <w:numPr>
          <w:ilvl w:val="0"/>
          <w:numId w:val="5"/>
        </w:numPr>
        <w:spacing w:before="0" w:after="140" w:line="480" w:lineRule="auto"/>
        <w:rPr>
          <w:rFonts w:ascii="Times New Roman" w:hAnsi="Times New Roman" w:cs="Times New Roman"/>
        </w:rPr>
      </w:pPr>
      <w:r>
        <w:rPr>
          <w:rFonts w:ascii="Times New Roman" w:hAnsi="Times New Roman" w:cs="Times New Roman"/>
          <w:i/>
          <w:iCs/>
        </w:rPr>
        <w:t>Hepacivirus</w:t>
      </w:r>
      <w:r>
        <w:rPr>
          <w:rFonts w:ascii="Times New Roman" w:hAnsi="Times New Roman" w:cs="Times New Roman"/>
        </w:rPr>
        <w:t>: 0.996</w:t>
      </w:r>
    </w:p>
    <w:p w:rsidR="00EC1AEE" w:rsidRPr="00B406D8" w:rsidRDefault="00B406D8" w:rsidP="00464497">
      <w:pPr>
        <w:pStyle w:val="Compact"/>
        <w:numPr>
          <w:ilvl w:val="0"/>
          <w:numId w:val="5"/>
        </w:numPr>
        <w:spacing w:before="0" w:after="140" w:line="480" w:lineRule="auto"/>
        <w:rPr>
          <w:rFonts w:ascii="Times New Roman" w:hAnsi="Times New Roman" w:cs="Times New Roman"/>
        </w:rPr>
      </w:pPr>
      <w:r>
        <w:rPr>
          <w:rFonts w:ascii="Times New Roman" w:hAnsi="Times New Roman" w:cs="Times New Roman"/>
          <w:i/>
          <w:iCs/>
        </w:rPr>
        <w:t>Pestivirus</w:t>
      </w:r>
      <w:r>
        <w:rPr>
          <w:rFonts w:ascii="Times New Roman" w:hAnsi="Times New Roman" w:cs="Times New Roman"/>
        </w:rPr>
        <w:t>: 0.995</w:t>
      </w:r>
    </w:p>
    <w:p w:rsidR="00EC1AEE" w:rsidRPr="00B406D8" w:rsidRDefault="00B406D8" w:rsidP="00464497">
      <w:pPr>
        <w:pStyle w:val="Compact"/>
        <w:numPr>
          <w:ilvl w:val="0"/>
          <w:numId w:val="5"/>
        </w:numPr>
        <w:spacing w:before="0" w:after="140" w:line="480" w:lineRule="auto"/>
        <w:rPr>
          <w:rFonts w:ascii="Times New Roman" w:hAnsi="Times New Roman" w:cs="Times New Roman"/>
        </w:rPr>
      </w:pPr>
      <w:r>
        <w:rPr>
          <w:rFonts w:ascii="Times New Roman" w:hAnsi="Times New Roman" w:cs="Times New Roman"/>
          <w:i/>
          <w:iCs/>
        </w:rPr>
        <w:t>Pegivirus</w:t>
      </w:r>
      <w:r>
        <w:rPr>
          <w:rFonts w:ascii="Times New Roman" w:hAnsi="Times New Roman" w:cs="Times New Roman"/>
        </w:rPr>
        <w:t>: 0.973</w:t>
      </w:r>
    </w:p>
    <w:p w:rsidR="00EC1AEE" w:rsidRPr="00B406D8" w:rsidRDefault="00B406D8" w:rsidP="00464497">
      <w:pPr>
        <w:pStyle w:val="FirstParagraph"/>
        <w:spacing w:before="0" w:after="140" w:line="480" w:lineRule="auto"/>
        <w:rPr>
          <w:rFonts w:ascii="Times New Roman" w:hAnsi="Times New Roman" w:cs="Times New Roman"/>
        </w:rPr>
      </w:pPr>
      <w:r>
        <w:rPr>
          <w:rFonts w:ascii="Times New Roman" w:hAnsi="Times New Roman" w:cs="Times New Roman"/>
        </w:rPr>
        <w:t>PCA visualization confirmed distinct genus clusters (Fig. 7C). Top features inc</w:t>
      </w:r>
      <w:r w:rsidR="00FE794D">
        <w:rPr>
          <w:rFonts w:ascii="Times New Roman" w:hAnsi="Times New Roman" w:cs="Times New Roman"/>
        </w:rPr>
        <w:t>luded genome length</w:t>
      </w:r>
      <w:r>
        <w:rPr>
          <w:rFonts w:ascii="Times New Roman" w:hAnsi="Times New Roman" w:cs="Times New Roman"/>
        </w:rPr>
        <w:t xml:space="preserve"> and dinucleotide patterns (Fig. 7D).</w:t>
      </w:r>
    </w:p>
    <w:p w:rsidR="00A23272" w:rsidRPr="00A23272" w:rsidRDefault="0029256E" w:rsidP="00A23272">
      <w:pPr>
        <w:pStyle w:val="BodyText"/>
      </w:pPr>
      <w:r>
        <w:rPr>
          <w:noProof/>
          <w:lang w:eastAsia="ko-KR"/>
        </w:rPr>
        <w:lastRenderedPageBreak/>
        <w:drawing>
          <wp:inline distT="0" distB="0" distL="0" distR="0" wp14:anchorId="75771C0E" wp14:editId="757C3A6C">
            <wp:extent cx="5893308" cy="599236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7_publication.tiff"/>
                    <pic:cNvPicPr/>
                  </pic:nvPicPr>
                  <pic:blipFill>
                    <a:blip r:embed="rId14">
                      <a:extLst>
                        <a:ext uri="{28A0092B-C50C-407E-A947-70E740481C1C}">
                          <a14:useLocalDpi xmlns:a14="http://schemas.microsoft.com/office/drawing/2010/main" val="0"/>
                        </a:ext>
                      </a:extLst>
                    </a:blip>
                    <a:stretch>
                      <a:fillRect/>
                    </a:stretch>
                  </pic:blipFill>
                  <pic:spPr>
                    <a:xfrm>
                      <a:off x="0" y="0"/>
                      <a:ext cx="5893308" cy="5992368"/>
                    </a:xfrm>
                    <a:prstGeom prst="rect">
                      <a:avLst/>
                    </a:prstGeom>
                  </pic:spPr>
                </pic:pic>
              </a:graphicData>
            </a:graphic>
          </wp:inline>
        </w:drawing>
      </w:r>
    </w:p>
    <w:p w:rsidR="00EC1AEE" w:rsidRPr="00B406D8" w:rsidRDefault="00B406D8" w:rsidP="00F214B7">
      <w:pPr>
        <w:pStyle w:val="BodyText"/>
        <w:spacing w:before="0" w:after="140" w:line="480" w:lineRule="auto"/>
        <w:rPr>
          <w:rFonts w:ascii="Times New Roman" w:hAnsi="Times New Roman" w:cs="Times New Roman"/>
        </w:rPr>
      </w:pPr>
      <w:r>
        <w:rPr>
          <w:rFonts w:ascii="Times New Roman" w:hAnsi="Times New Roman" w:cs="Times New Roman"/>
          <w:b/>
          <w:bCs/>
        </w:rPr>
        <w:t xml:space="preserve">Fig. 7. Genus-level classification across </w:t>
      </w:r>
      <w:r>
        <w:rPr>
          <w:rFonts w:ascii="Times New Roman" w:hAnsi="Times New Roman" w:cs="Times New Roman"/>
          <w:b/>
          <w:bCs/>
          <w:i/>
          <w:iCs/>
        </w:rPr>
        <w:t>Flaviviridae</w:t>
      </w:r>
      <w:r>
        <w:rPr>
          <w:rFonts w:ascii="Times New Roman" w:hAnsi="Times New Roman" w:cs="Times New Roman"/>
          <w:b/>
          <w:bCs/>
        </w:rPr>
        <w:t>.</w:t>
      </w:r>
      <w:r>
        <w:rPr>
          <w:rFonts w:ascii="Times New Roman" w:hAnsi="Times New Roman" w:cs="Times New Roman"/>
        </w:rPr>
        <w:t xml:space="preserve"> Classification of 3,458 genomes from 299 species into four genera using 97 compositional features. (A) Normalized confusion matrix (random forest, 5-fold CV). Near-diagonal structure indicates accurate classification. </w:t>
      </w:r>
      <w:r w:rsidRPr="00C9023B">
        <w:rPr>
          <w:rFonts w:ascii="Times New Roman" w:hAnsi="Times New Roman" w:cs="Times New Roman"/>
        </w:rPr>
        <w:t xml:space="preserve">(B) </w:t>
      </w:r>
      <w:r w:rsidR="00C9023B" w:rsidRPr="00C9023B">
        <w:rPr>
          <w:rFonts w:ascii="Times New Roman" w:hAnsi="Times New Roman" w:cs="Times New Roman"/>
        </w:rPr>
        <w:t>Per-class F1 scores exceeded 0.97 for random forest, and 0.96 for logistic regression, across all genera</w:t>
      </w:r>
      <w:r w:rsidR="00C9023B">
        <w:rPr>
          <w:rFonts w:ascii="Times New Roman" w:hAnsi="Times New Roman" w:cs="Times New Roman"/>
        </w:rPr>
        <w:t xml:space="preserve"> </w:t>
      </w:r>
      <w:r>
        <w:rPr>
          <w:rFonts w:ascii="Times New Roman" w:hAnsi="Times New Roman" w:cs="Times New Roman"/>
        </w:rPr>
        <w:t xml:space="preserve">(C) PCA of compositional features by genus. (D) Top 15 random forest feature importances. Balanced accuracy = </w:t>
      </w:r>
      <m:oMath>
        <m:r>
          <w:rPr>
            <w:rFonts w:ascii="Cambria Math" w:hAnsi="Cambria Math" w:cs="Times New Roman"/>
          </w:rPr>
          <m:t>0.980</m:t>
        </m:r>
        <m:r>
          <m:rPr>
            <m:sty m:val="p"/>
          </m:rPr>
          <w:rPr>
            <w:rFonts w:ascii="Cambria Math" w:hAnsi="Cambria Math" w:cs="Times New Roman"/>
          </w:rPr>
          <m:t>±</m:t>
        </m:r>
        <m:r>
          <w:rPr>
            <w:rFonts w:ascii="Cambria Math" w:hAnsi="Cambria Math" w:cs="Times New Roman"/>
          </w:rPr>
          <m:t>0.020</m:t>
        </m:r>
      </m:oMath>
      <w:r>
        <w:rPr>
          <w:rFonts w:ascii="Times New Roman" w:hAnsi="Times New Roman" w:cs="Times New Roman"/>
        </w:rPr>
        <w:t xml:space="preserve">; macro F1 = </w:t>
      </w:r>
      <m:oMath>
        <m:r>
          <w:rPr>
            <w:rFonts w:ascii="Cambria Math" w:hAnsi="Cambria Math" w:cs="Times New Roman"/>
          </w:rPr>
          <m:t>0.984</m:t>
        </m:r>
        <m:r>
          <m:rPr>
            <m:sty m:val="p"/>
          </m:rPr>
          <w:rPr>
            <w:rFonts w:ascii="Cambria Math" w:hAnsi="Cambria Math" w:cs="Times New Roman"/>
          </w:rPr>
          <m:t>±</m:t>
        </m:r>
        <m:r>
          <w:rPr>
            <w:rFonts w:ascii="Cambria Math" w:hAnsi="Cambria Math" w:cs="Times New Roman"/>
          </w:rPr>
          <m:t>0.013</m:t>
        </m:r>
      </m:oMath>
      <w:r>
        <w:rPr>
          <w:rFonts w:ascii="Times New Roman" w:hAnsi="Times New Roman" w:cs="Times New Roman"/>
        </w:rPr>
        <w:t>.</w:t>
      </w:r>
    </w:p>
    <w:p w:rsidR="00EC1AEE" w:rsidRDefault="00EC1AEE"/>
    <w:p w:rsidR="00EC1AEE" w:rsidRPr="00B30118" w:rsidRDefault="00B406D8">
      <w:pPr>
        <w:pStyle w:val="Heading2"/>
        <w:rPr>
          <w:rFonts w:ascii="Times New Roman" w:hAnsi="Times New Roman" w:cs="Times New Roman"/>
          <w:sz w:val="24"/>
          <w:szCs w:val="24"/>
        </w:rPr>
      </w:pPr>
      <w:bookmarkStart w:id="28" w:name="discussion"/>
      <w:bookmarkEnd w:id="15"/>
      <w:bookmarkEnd w:id="27"/>
      <w:r w:rsidRPr="00B30118">
        <w:rPr>
          <w:rFonts w:ascii="Times New Roman" w:hAnsi="Times New Roman" w:cs="Times New Roman"/>
          <w:sz w:val="24"/>
          <w:szCs w:val="24"/>
        </w:rPr>
        <w:t>DISCUSSION</w:t>
      </w:r>
    </w:p>
    <w:p w:rsidR="00B30118" w:rsidRPr="00B30118" w:rsidRDefault="00B30118" w:rsidP="00B30118">
      <w:pPr>
        <w:pStyle w:val="BodyText"/>
      </w:pPr>
    </w:p>
    <w:p w:rsidR="00EC1AEE" w:rsidRPr="00B406D8" w:rsidRDefault="00B406D8" w:rsidP="00424C13">
      <w:pPr>
        <w:pStyle w:val="FirstParagraph"/>
        <w:spacing w:before="0" w:after="140" w:line="480" w:lineRule="auto"/>
        <w:rPr>
          <w:rFonts w:ascii="Times New Roman" w:hAnsi="Times New Roman" w:cs="Times New Roman"/>
        </w:rPr>
      </w:pPr>
      <w:r>
        <w:rPr>
          <w:rFonts w:ascii="Times New Roman" w:hAnsi="Times New Roman" w:cs="Times New Roman"/>
        </w:rPr>
        <w:t xml:space="preserve">This study demonstrates that host range in </w:t>
      </w:r>
      <w:r>
        <w:rPr>
          <w:rFonts w:ascii="Times New Roman" w:hAnsi="Times New Roman" w:cs="Times New Roman"/>
          <w:i/>
          <w:iCs/>
        </w:rPr>
        <w:t>Flavivirus</w:t>
      </w:r>
      <w:r>
        <w:rPr>
          <w:rFonts w:ascii="Times New Roman" w:hAnsi="Times New Roman" w:cs="Times New Roman"/>
        </w:rPr>
        <w:t xml:space="preserve"> is encoded in measurable genome-wide compositional signatures enabling accurate ISFV versus dual-host classification from sequence data. CpG dinucleotide suppression constitutes the dominant discriminative signal: dual-host flaviviruses exhibit strong suppression (O/E = 0.427) while ISFVs show relaxed suppression (O/E = 0.858). This difference, quantified by Cohen’s </w:t>
      </w:r>
      <m:oMath>
        <m:r>
          <w:rPr>
            <w:rFonts w:ascii="Cambria Math" w:hAnsi="Cambria Math" w:cs="Times New Roman"/>
          </w:rPr>
          <m:t>d</m:t>
        </m:r>
        <m:r>
          <m:rPr>
            <m:sty m:val="p"/>
          </m:rPr>
          <w:rPr>
            <w:rFonts w:ascii="Cambria Math" w:hAnsi="Cambria Math" w:cs="Times New Roman"/>
          </w:rPr>
          <m:t>=</m:t>
        </m:r>
        <m:r>
          <w:rPr>
            <w:rFonts w:ascii="Cambria Math" w:hAnsi="Cambria Math" w:cs="Times New Roman"/>
          </w:rPr>
          <m:t>9.87</m:t>
        </m:r>
      </m:oMath>
      <w:r>
        <w:rPr>
          <w:rFonts w:ascii="Times New Roman" w:hAnsi="Times New Roman" w:cs="Times New Roman"/>
        </w:rPr>
        <w:t>, represents the largest compositional distinction between host range classes and provides mechanistic linkage to vertebrate innate immunity.</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 xml:space="preserve">The biological basis for differential CpG suppression is established. ZAP binds CpG dinucleotides in viral RNA and </w:t>
      </w:r>
      <w:r w:rsidR="000E133A">
        <w:rPr>
          <w:rFonts w:ascii="Times New Roman" w:hAnsi="Times New Roman" w:cs="Times New Roman"/>
        </w:rPr>
        <w:t>recruits’</w:t>
      </w:r>
      <w:r>
        <w:rPr>
          <w:rFonts w:ascii="Times New Roman" w:hAnsi="Times New Roman" w:cs="Times New Roman"/>
        </w:rPr>
        <w:t xml:space="preserve"> degradation machinery, restricting CpG-rich virus replication (19, 20). Dual-host flaviviruses, replicating in both arthropods and vertebrates, experience ZAP-mediated selection during vertebrate infection and exhibit pronounced CpG suppression. </w:t>
      </w:r>
      <w:r w:rsidR="00693342" w:rsidRPr="00693342">
        <w:rPr>
          <w:rFonts w:ascii="Times New Roman" w:hAnsi="Times New Roman" w:cs="Times New Roman"/>
        </w:rPr>
        <w:t xml:space="preserve">Experimentally increasing CpG content in RNA viruses has been shown to attenuate replication </w:t>
      </w:r>
      <w:r w:rsidR="00693342" w:rsidRPr="00693342">
        <w:rPr>
          <w:rStyle w:val="Strong"/>
          <w:rFonts w:ascii="Times New Roman" w:hAnsi="Times New Roman" w:cs="Times New Roman"/>
          <w:b w:val="0"/>
        </w:rPr>
        <w:t>(30</w:t>
      </w:r>
      <w:r w:rsidR="005424B9">
        <w:rPr>
          <w:rStyle w:val="Strong"/>
          <w:rFonts w:ascii="Times New Roman" w:hAnsi="Times New Roman" w:cs="Times New Roman"/>
          <w:b w:val="0"/>
        </w:rPr>
        <w:t>, 32</w:t>
      </w:r>
      <w:r w:rsidR="00693342" w:rsidRPr="00693342">
        <w:rPr>
          <w:rStyle w:val="Strong"/>
          <w:rFonts w:ascii="Times New Roman" w:hAnsi="Times New Roman" w:cs="Times New Roman"/>
          <w:b w:val="0"/>
        </w:rPr>
        <w:t>)</w:t>
      </w:r>
      <w:r w:rsidR="00693342" w:rsidRPr="00693342">
        <w:rPr>
          <w:rFonts w:ascii="Times New Roman" w:hAnsi="Times New Roman" w:cs="Times New Roman"/>
          <w:b/>
        </w:rPr>
        <w:t>,</w:t>
      </w:r>
      <w:r w:rsidR="00693342" w:rsidRPr="00693342">
        <w:rPr>
          <w:rFonts w:ascii="Times New Roman" w:hAnsi="Times New Roman" w:cs="Times New Roman"/>
        </w:rPr>
        <w:t xml:space="preserve"> consistent with the functional significance of CpG suppression observed here.</w:t>
      </w:r>
      <w:r w:rsidR="00693342" w:rsidRPr="00693342">
        <w:rPr>
          <w:rFonts w:ascii="Times New Roman" w:hAnsi="Times New Roman" w:cs="Times New Roman"/>
        </w:rPr>
        <w:t xml:space="preserve"> </w:t>
      </w:r>
      <w:r>
        <w:rPr>
          <w:rFonts w:ascii="Times New Roman" w:hAnsi="Times New Roman" w:cs="Times New Roman"/>
        </w:rPr>
        <w:t>ISFVs, restricted to invertebrates lacking ZAP orthologs, are not subject to this selection and retain higher CpG content.</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 xml:space="preserve">The finding that dinucleotide features alone achieve perfect classification (PR-AUC = 1.000) underscores CpG signature primacy. A parsimonious classifier based on CpG O/E ratio alone would correctly classify most </w:t>
      </w:r>
      <w:r>
        <w:rPr>
          <w:rFonts w:ascii="Times New Roman" w:hAnsi="Times New Roman" w:cs="Times New Roman"/>
          <w:i/>
          <w:iCs/>
        </w:rPr>
        <w:t>Flavivirus</w:t>
      </w:r>
      <w:r>
        <w:rPr>
          <w:rFonts w:ascii="Times New Roman" w:hAnsi="Times New Roman" w:cs="Times New Roman"/>
        </w:rPr>
        <w:t xml:space="preserve"> genomes. However, such a threshold would misclassify the four ISFV species with atypical profiles, demonstrating the value of multivariate approaches integrating dinucleotide and codon usage features.</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lastRenderedPageBreak/>
        <w:t xml:space="preserve">The prominence of </w:t>
      </w:r>
      <m:oMath>
        <m:sSub>
          <m:sSubPr>
            <m:ctrlPr>
              <w:rPr>
                <w:rFonts w:ascii="Cambria Math" w:hAnsi="Cambria Math" w:cs="Times New Roman"/>
              </w:rPr>
            </m:ctrlPr>
          </m:sSubPr>
          <m:e>
            <m:r>
              <m:rPr>
                <m:nor/>
              </m:rPr>
              <w:rPr>
                <w:rFonts w:ascii="Times New Roman" w:hAnsi="Times New Roman" w:cs="Times New Roman"/>
              </w:rPr>
              <m:t>RSCU</m:t>
            </m:r>
          </m:e>
          <m:sub>
            <m:r>
              <m:rPr>
                <m:nor/>
              </m:rPr>
              <w:rPr>
                <w:rFonts w:ascii="Times New Roman" w:hAnsi="Times New Roman" w:cs="Times New Roman"/>
              </w:rPr>
              <m:t>CGT</m:t>
            </m:r>
          </m:sub>
        </m:sSub>
      </m:oMath>
      <w:r>
        <w:rPr>
          <w:rFonts w:ascii="Times New Roman" w:hAnsi="Times New Roman" w:cs="Times New Roman"/>
        </w:rPr>
        <w:t xml:space="preserve"> reveals that codon usage contributes discriminative information beyond dinucleotide frequencies. CGT encodes arginine and contains the CG dinucleotide; elevated CGT usage in ISFVs reflects both absence of CpG selection and potential adaptation to invertebrate tRNA pools. Arthropod and vertebrate cells differ in tRNA availability (27, 28), and ISFVs may optimize codon usage for arthropod translation exclusively.</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Species-stratified evaluation represents a methodological contribution preventing data leakage from within-species sequence similarity. Previous studies employing random train-test splits risk inflating performance when test sets contain species also in training. Our approach ensures performance reflects generalization to novel lineages. High performance under this stringent framework (PR-AUC = 1.000, ROC-AUC = 1.000) confirms that host range signatures are species-generalizable.</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The identification of four ISFV species with atypica</w:t>
      </w:r>
      <w:r w:rsidR="005424B9">
        <w:rPr>
          <w:rFonts w:ascii="Times New Roman" w:hAnsi="Times New Roman" w:cs="Times New Roman"/>
        </w:rPr>
        <w:t xml:space="preserve">l profiles, </w:t>
      </w:r>
      <w:r>
        <w:rPr>
          <w:rFonts w:ascii="Times New Roman" w:hAnsi="Times New Roman" w:cs="Times New Roman"/>
        </w:rPr>
        <w:t>T’Ho virus, Kampung Karu virus, Cha</w:t>
      </w:r>
      <w:r w:rsidR="005424B9">
        <w:rPr>
          <w:rFonts w:ascii="Times New Roman" w:hAnsi="Times New Roman" w:cs="Times New Roman"/>
        </w:rPr>
        <w:t xml:space="preserve">oyang virus, and Donggang virus </w:t>
      </w:r>
      <w:r>
        <w:rPr>
          <w:rFonts w:ascii="Times New Roman" w:hAnsi="Times New Roman" w:cs="Times New Roman"/>
        </w:rPr>
        <w:t>raises questions about their evolutionary histories. These species exhibit intermediate CpG O/E (0.537–0.636), between typical ISFVs and dual-host viruses. Several hypotheses merit consideration.</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First, these species may represent evolutionary intermediates that recently lost vertebrate infection capacity. Following host range restriction, selective pressure for CpG suppression would relax, and CpG content would increase through neutral drift. Intermediate CpG O/E could reflect incomplete equilibration following recent transitions.</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Second, these species may belong to distinct ISFV lineages subject to lineage-specific selection unrelated to host range. Adaptation to arthropod hosts with unusual immune systems could impose CpG-suppressing selection despite exclusive invertebrate replication.</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lastRenderedPageBreak/>
        <w:t>Third, host range annotations may be incomplete. Although these species cannot replicate in standard mammalian cell lines (8), they might infect vertebrates under specific conditions. Experimental re-evaluation would help resolve this uncertainty.</w:t>
      </w:r>
    </w:p>
    <w:p w:rsidR="00EC1AEE"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Fourth, recombination with dual-host ancestors could introduce compositional heterogeneity. Genomic regions from dual-host lineages would exhibit elevated CpG suppression, shifting genome-wide ratios toward dual-host-like values.</w:t>
      </w:r>
    </w:p>
    <w:p w:rsidR="00A6401C" w:rsidRPr="00A6401C" w:rsidRDefault="00A6401C" w:rsidP="00424C13">
      <w:pPr>
        <w:pStyle w:val="BodyText"/>
        <w:spacing w:before="0" w:after="140" w:line="480" w:lineRule="auto"/>
        <w:rPr>
          <w:rFonts w:ascii="Times New Roman" w:hAnsi="Times New Roman" w:cs="Times New Roman"/>
        </w:rPr>
      </w:pPr>
      <w:r w:rsidRPr="00A6401C">
        <w:rPr>
          <w:rFonts w:ascii="Times New Roman" w:hAnsi="Times New Roman" w:cs="Times New Roman"/>
        </w:rPr>
        <w:t>Notably,</w:t>
      </w:r>
      <w:r>
        <w:rPr>
          <w:rFonts w:ascii="Times New Roman" w:hAnsi="Times New Roman" w:cs="Times New Roman"/>
        </w:rPr>
        <w:t xml:space="preserve"> all four misclassified species, </w:t>
      </w:r>
      <w:r w:rsidRPr="00A6401C">
        <w:rPr>
          <w:rFonts w:ascii="Times New Roman" w:hAnsi="Times New Roman" w:cs="Times New Roman"/>
        </w:rPr>
        <w:t>T'Ho virus, Kampung Karu virus, Chaoyang virus,</w:t>
      </w:r>
      <w:r>
        <w:rPr>
          <w:rFonts w:ascii="Times New Roman" w:hAnsi="Times New Roman" w:cs="Times New Roman"/>
        </w:rPr>
        <w:t xml:space="preserve"> and Donggang virus, </w:t>
      </w:r>
      <w:r w:rsidRPr="00A6401C">
        <w:rPr>
          <w:rFonts w:ascii="Times New Roman" w:hAnsi="Times New Roman" w:cs="Times New Roman"/>
        </w:rPr>
        <w:t>belong to the dual-host affiliated insect-specific flavivirus (dISF) lineage, which is phylogenetically nested within the mosquito-borne flavivirus clade rather than grouping with classical ISFVs such as cell fusing agent virus and Culex flavivirus (8). Chaoyang, Donggang, and Kampung Karu viruses cluster together in a dISF clade with</w:t>
      </w:r>
      <w:r>
        <w:rPr>
          <w:rFonts w:ascii="Times New Roman" w:hAnsi="Times New Roman" w:cs="Times New Roman"/>
        </w:rPr>
        <w:t xml:space="preserve"> Lammi and Ilomantsi viruses (57</w:t>
      </w:r>
      <w:r w:rsidRPr="00A6401C">
        <w:rPr>
          <w:rFonts w:ascii="Times New Roman" w:hAnsi="Times New Roman" w:cs="Times New Roman"/>
        </w:rPr>
        <w:t>), while T'Ho virus is most closely related to Rocio and Ilheus viruses of the Ntaya group, both of which are dual-host huma</w:t>
      </w:r>
      <w:r w:rsidR="008F0F88">
        <w:rPr>
          <w:rFonts w:ascii="Times New Roman" w:hAnsi="Times New Roman" w:cs="Times New Roman"/>
        </w:rPr>
        <w:t>n pathogens (58</w:t>
      </w:r>
      <w:r w:rsidRPr="00A6401C">
        <w:rPr>
          <w:rFonts w:ascii="Times New Roman" w:hAnsi="Times New Roman" w:cs="Times New Roman"/>
        </w:rPr>
        <w:t>). Recent structural and functional studies demonstrated that Donggang virus enters vertebrate cells as efficiently as mosquito-borne flaviviruses but is restricted at the level of RNA replication, with UTR structural elements rather than genome composition deter</w:t>
      </w:r>
      <w:r w:rsidR="008F0F88">
        <w:rPr>
          <w:rFonts w:ascii="Times New Roman" w:hAnsi="Times New Roman" w:cs="Times New Roman"/>
        </w:rPr>
        <w:t>mining the replication block (59</w:t>
      </w:r>
      <w:r w:rsidRPr="00A6401C">
        <w:rPr>
          <w:rFonts w:ascii="Times New Roman" w:hAnsi="Times New Roman" w:cs="Times New Roman"/>
        </w:rPr>
        <w:t>). These findings suggest that the dual-host-like compositional profiles of dISFs reflect shared recent ancestry with arboviruses rather than current vertebrate tropism. The classifier thus correctly identifies the evolutionary signature in these genomes; the "misclassification" reveals a biologically meaningful distinction between dISFs, which retain ancestral dual-host compositional features, and cISFs, which have diverged extensively from the dual-host lineage. This interpretation is consistent with the hypothesis that dISFs represent viruses that recently lost vertebrate tropism while retaining genome-wide compositional signatures shaped by prior vertebrate host selection (8).</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lastRenderedPageBreak/>
        <w:t xml:space="preserve">Extension to genus-level classification demonstrates that compositional features capture deep evolutionary signal. Near-perfect genus discrimination (balanced accuracy = 0.980, macro F1 = 0.984) across </w:t>
      </w:r>
      <w:r>
        <w:rPr>
          <w:rFonts w:ascii="Times New Roman" w:hAnsi="Times New Roman" w:cs="Times New Roman"/>
          <w:i/>
          <w:iCs/>
        </w:rPr>
        <w:t>Flaviviridae</w:t>
      </w:r>
      <w:r>
        <w:rPr>
          <w:rFonts w:ascii="Times New Roman" w:hAnsi="Times New Roman" w:cs="Times New Roman"/>
        </w:rPr>
        <w:t xml:space="preserve"> indicates that composition and codon usage patterns are shaped by evolutionary forces operating over timescales producing genus-level divergence (2, 38).</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Several limitations warrant acknowledgment. Class imbalance (~11:1) limits power for characterizing ISFV diversity. Some ISFV species were represented by only two genomes, precluding within-species variation assessment. Host range labels, derived from literature, may contain annotation errors. The feature set, while comprehensive, does not capture RNA secondary structure or sequence motifs. Cross-validation, while rigorous, is not equivalent to prospective validation.</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This framework has applications for newly sequenced flaviviruses of unknown host range. Computational predictions can prioritize candidates for experimental characterization. Genomes predicted as dual-host may warrant enhanced biosafety measures, while those predicted as ISFVs may be candidates for vaccine platform development (17, 18). Species with intermediate profiles highlight candidates for host range re-evaluation.</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Future directions include experimental validation of misclassified species, integration with deep learning approaches, extension to finer-grained host range prediction, and mechanistic studies linking compositional features to molecular host restriction determinants.</w:t>
      </w:r>
    </w:p>
    <w:p w:rsidR="00EC1AEE" w:rsidRPr="00B406D8" w:rsidRDefault="00B406D8" w:rsidP="00424C13">
      <w:pPr>
        <w:pStyle w:val="BodyText"/>
        <w:spacing w:before="0" w:after="140" w:line="480" w:lineRule="auto"/>
        <w:rPr>
          <w:rFonts w:ascii="Times New Roman" w:hAnsi="Times New Roman" w:cs="Times New Roman"/>
        </w:rPr>
      </w:pPr>
      <w:r>
        <w:rPr>
          <w:rFonts w:ascii="Times New Roman" w:hAnsi="Times New Roman" w:cs="Times New Roman"/>
        </w:rPr>
        <w:t xml:space="preserve">In conclusion, host range in </w:t>
      </w:r>
      <w:r>
        <w:rPr>
          <w:rFonts w:ascii="Times New Roman" w:hAnsi="Times New Roman" w:cs="Times New Roman"/>
          <w:i/>
          <w:iCs/>
        </w:rPr>
        <w:t>Flavivirus</w:t>
      </w:r>
      <w:r>
        <w:rPr>
          <w:rFonts w:ascii="Times New Roman" w:hAnsi="Times New Roman" w:cs="Times New Roman"/>
        </w:rPr>
        <w:t xml:space="preserve"> is predictable from genome-wide compositional signatures, with CpG suppression as the primary discriminative feature. Species-stratified evaluation confirms generalization to novel species. Four ISFV species with atypical profiles warrant investigation as evolutionary intermediates or annotation reassessment candidates. This </w:t>
      </w:r>
      <w:r>
        <w:rPr>
          <w:rFonts w:ascii="Times New Roman" w:hAnsi="Times New Roman" w:cs="Times New Roman"/>
        </w:rPr>
        <w:lastRenderedPageBreak/>
        <w:t>work establishes a validated framework for computational host range inference from flavivirus sequences.</w:t>
      </w:r>
    </w:p>
    <w:p w:rsidR="00EC1AEE" w:rsidRPr="00B406D8" w:rsidRDefault="00EC1AEE" w:rsidP="00424C13">
      <w:pPr>
        <w:spacing w:after="140" w:line="480" w:lineRule="auto"/>
        <w:rPr>
          <w:rFonts w:ascii="Times New Roman" w:hAnsi="Times New Roman" w:cs="Times New Roman"/>
        </w:rPr>
      </w:pPr>
    </w:p>
    <w:p w:rsidR="00235117" w:rsidRDefault="00235117" w:rsidP="00424C13">
      <w:pPr>
        <w:pStyle w:val="BodyText"/>
        <w:spacing w:before="0" w:after="140" w:line="480" w:lineRule="auto"/>
      </w:pPr>
      <w:bookmarkStart w:id="29" w:name="acknowledgments"/>
      <w:bookmarkEnd w:id="28"/>
    </w:p>
    <w:p w:rsidR="00B30118" w:rsidRDefault="00B30118" w:rsidP="00424C13">
      <w:pPr>
        <w:pStyle w:val="BodyText"/>
        <w:spacing w:before="0" w:after="140" w:line="480" w:lineRule="auto"/>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B30118" w:rsidRDefault="00B30118" w:rsidP="00235117">
      <w:pPr>
        <w:pStyle w:val="BodyText"/>
      </w:pPr>
    </w:p>
    <w:p w:rsidR="00A6401C" w:rsidRDefault="00A6401C" w:rsidP="00235117">
      <w:pPr>
        <w:pStyle w:val="BodyText"/>
      </w:pPr>
    </w:p>
    <w:p w:rsidR="005424B9" w:rsidRDefault="005424B9" w:rsidP="00235117">
      <w:pPr>
        <w:pStyle w:val="BodyText"/>
      </w:pPr>
    </w:p>
    <w:p w:rsidR="005424B9" w:rsidRPr="00235117" w:rsidRDefault="005424B9" w:rsidP="00235117">
      <w:pPr>
        <w:pStyle w:val="BodyText"/>
      </w:pPr>
    </w:p>
    <w:p w:rsidR="005424B9" w:rsidRDefault="005424B9">
      <w:pPr>
        <w:pStyle w:val="Heading2"/>
        <w:rPr>
          <w:rFonts w:ascii="Times New Roman" w:hAnsi="Times New Roman" w:cs="Times New Roman"/>
          <w:sz w:val="24"/>
          <w:szCs w:val="24"/>
        </w:rPr>
      </w:pPr>
    </w:p>
    <w:p w:rsidR="00235117" w:rsidRDefault="00B406D8" w:rsidP="005424B9">
      <w:pPr>
        <w:pStyle w:val="Heading2"/>
        <w:rPr>
          <w:rFonts w:ascii="Times New Roman" w:hAnsi="Times New Roman" w:cs="Times New Roman"/>
          <w:sz w:val="24"/>
          <w:szCs w:val="24"/>
        </w:rPr>
      </w:pPr>
      <w:r w:rsidRPr="00235117">
        <w:rPr>
          <w:rFonts w:ascii="Times New Roman" w:hAnsi="Times New Roman" w:cs="Times New Roman"/>
          <w:sz w:val="24"/>
          <w:szCs w:val="24"/>
        </w:rPr>
        <w:t>ACKNOWLEDGMENTS</w:t>
      </w:r>
    </w:p>
    <w:p w:rsidR="005424B9" w:rsidRPr="005424B9" w:rsidRDefault="005424B9" w:rsidP="005424B9">
      <w:pPr>
        <w:pStyle w:val="BodyText"/>
      </w:pPr>
    </w:p>
    <w:p w:rsidR="00B30118" w:rsidRPr="00B30118" w:rsidRDefault="00B30118" w:rsidP="00B30118">
      <w:pPr>
        <w:pStyle w:val="BodyText"/>
        <w:spacing w:before="0" w:after="140" w:line="480" w:lineRule="auto"/>
        <w:rPr>
          <w:rFonts w:ascii="Times New Roman" w:hAnsi="Times New Roman" w:cs="Times New Roman"/>
        </w:rPr>
      </w:pPr>
      <w:r w:rsidRPr="00B30118">
        <w:rPr>
          <w:rFonts w:ascii="Times New Roman" w:hAnsi="Times New Roman" w:cs="Times New Roman"/>
        </w:rPr>
        <w:t>We thank members of the Sexton Lab for constructive feedback during the initial stages of this work. Computational analyses were performed using the Holland Computing Center (HCC) at the University of Nebraska–Lincoln. We thank the National Center for Biotechnology Information (NCBI) for maintaining GenBank, from which all genome sequences used in this study were obtained</w:t>
      </w:r>
    </w:p>
    <w:p w:rsidR="00EC1AEE" w:rsidRDefault="00EC1AEE"/>
    <w:p w:rsidR="00C24593" w:rsidRDefault="00C24593"/>
    <w:p w:rsidR="00C24593" w:rsidRDefault="00C24593"/>
    <w:p w:rsidR="00C24593" w:rsidRDefault="00C24593"/>
    <w:p w:rsidR="00C24593" w:rsidRDefault="00C24593"/>
    <w:p w:rsidR="00C24593" w:rsidRDefault="00C24593"/>
    <w:p w:rsidR="000E133A" w:rsidRDefault="000E133A"/>
    <w:p w:rsidR="000E133A" w:rsidRDefault="000E133A" w:rsidP="000E133A">
      <w:pPr>
        <w:pStyle w:val="BodyText"/>
      </w:pPr>
      <w:r>
        <w:br w:type="page"/>
      </w:r>
    </w:p>
    <w:p w:rsidR="00C24593" w:rsidRDefault="00C24593"/>
    <w:p w:rsidR="00C24593" w:rsidRPr="000E133A" w:rsidRDefault="000E133A" w:rsidP="000E133A">
      <w:pPr>
        <w:rPr>
          <w:rStyle w:val="Strong"/>
          <w:rFonts w:ascii="Times New Roman" w:hAnsi="Times New Roman" w:cs="Times New Roman"/>
          <w:color w:val="4F81BD" w:themeColor="accent1"/>
        </w:rPr>
      </w:pPr>
      <w:r w:rsidRPr="000E133A">
        <w:rPr>
          <w:rStyle w:val="Strong"/>
          <w:rFonts w:ascii="Times New Roman" w:hAnsi="Times New Roman" w:cs="Times New Roman"/>
          <w:color w:val="4F81BD" w:themeColor="accent1"/>
        </w:rPr>
        <w:t>DECLARATION OF COMPETING INTERESTS</w:t>
      </w:r>
    </w:p>
    <w:p w:rsidR="000E133A" w:rsidRDefault="000E133A" w:rsidP="000E133A">
      <w:pPr>
        <w:rPr>
          <w:rStyle w:val="Strong"/>
          <w:rFonts w:ascii="Times New Roman" w:hAnsi="Times New Roman" w:cs="Times New Roman"/>
        </w:rPr>
      </w:pPr>
    </w:p>
    <w:p w:rsidR="000E133A" w:rsidRPr="000E133A" w:rsidRDefault="000E133A" w:rsidP="000E133A">
      <w:pPr>
        <w:spacing w:after="140" w:line="480" w:lineRule="auto"/>
        <w:rPr>
          <w:rFonts w:ascii="Times New Roman" w:hAnsi="Times New Roman" w:cs="Times New Roman"/>
        </w:rPr>
      </w:pPr>
      <w:r w:rsidRPr="000E133A">
        <w:rPr>
          <w:rFonts w:ascii="Times New Roman" w:hAnsi="Times New Roman" w:cs="Times New Roman"/>
        </w:rPr>
        <w:t>The authors declare no conflict of interest</w:t>
      </w:r>
    </w:p>
    <w:p w:rsidR="00C24593" w:rsidRDefault="00C24593"/>
    <w:p w:rsidR="00C24593" w:rsidRDefault="00C24593"/>
    <w:p w:rsidR="00C24593" w:rsidRDefault="00C24593"/>
    <w:p w:rsidR="00B30118" w:rsidRDefault="00B30118"/>
    <w:p w:rsidR="00B30118" w:rsidRDefault="00B30118"/>
    <w:p w:rsidR="00B30118" w:rsidRDefault="00B30118"/>
    <w:p w:rsidR="00B30118" w:rsidRDefault="00B30118"/>
    <w:p w:rsidR="00A6401C" w:rsidRDefault="00A6401C"/>
    <w:p w:rsidR="00A6401C" w:rsidRDefault="00A6401C"/>
    <w:p w:rsidR="00A6401C" w:rsidRDefault="00A6401C"/>
    <w:p w:rsidR="00D23580" w:rsidRDefault="00D23580"/>
    <w:p w:rsidR="000E133A" w:rsidRDefault="000E133A"/>
    <w:p w:rsidR="000E133A" w:rsidRDefault="000E133A"/>
    <w:p w:rsidR="000E133A" w:rsidRDefault="000E133A"/>
    <w:p w:rsidR="000E133A" w:rsidRDefault="000E133A"/>
    <w:p w:rsidR="000E133A" w:rsidRDefault="000E133A"/>
    <w:p w:rsidR="000E133A" w:rsidRDefault="000E133A"/>
    <w:p w:rsidR="000E133A" w:rsidRDefault="000E133A"/>
    <w:p w:rsidR="000E133A" w:rsidRDefault="000E133A"/>
    <w:p w:rsidR="000E133A" w:rsidRDefault="000E133A"/>
    <w:p w:rsidR="000E133A" w:rsidRDefault="000E133A"/>
    <w:p w:rsidR="000E133A" w:rsidRDefault="000E133A"/>
    <w:p w:rsidR="000E133A" w:rsidRDefault="000E133A">
      <w:bookmarkStart w:id="30" w:name="_GoBack"/>
      <w:bookmarkEnd w:id="30"/>
    </w:p>
    <w:p w:rsidR="00EC1AEE" w:rsidRPr="00B30118" w:rsidRDefault="00B406D8">
      <w:pPr>
        <w:pStyle w:val="Heading2"/>
        <w:rPr>
          <w:rFonts w:ascii="Times New Roman" w:hAnsi="Times New Roman" w:cs="Times New Roman"/>
          <w:sz w:val="24"/>
          <w:szCs w:val="24"/>
        </w:rPr>
      </w:pPr>
      <w:bookmarkStart w:id="31" w:name="references"/>
      <w:bookmarkEnd w:id="29"/>
      <w:r w:rsidRPr="00B30118">
        <w:rPr>
          <w:rFonts w:ascii="Times New Roman" w:hAnsi="Times New Roman" w:cs="Times New Roman"/>
          <w:sz w:val="24"/>
          <w:szCs w:val="24"/>
        </w:rPr>
        <w:t>REFERENCES</w:t>
      </w:r>
    </w:p>
    <w:p w:rsidR="00B30118" w:rsidRPr="00B30118" w:rsidRDefault="00B30118" w:rsidP="00B30118">
      <w:pPr>
        <w:pStyle w:val="BodyText"/>
      </w:pP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Pierson TC, Diamond MS. 2020. The continued threat of emerging flaviviruses. Nat Microbiol 5:796–812.</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 xml:space="preserve">Simmonds P, Becher P, Bukh J, Gould EA, Meyers G, Monath T, Muerhoff S, Pletnev A, Rico-Hesse R, Smith DB, Stapleton JT, ICTV Report Consortium. 2017. ICTV virus taxonomy profile: </w:t>
      </w:r>
      <w:r>
        <w:rPr>
          <w:rFonts w:ascii="Times New Roman" w:hAnsi="Times New Roman" w:cs="Times New Roman"/>
          <w:i/>
          <w:iCs/>
        </w:rPr>
        <w:t>Flaviviridae</w:t>
      </w:r>
      <w:r>
        <w:rPr>
          <w:rFonts w:ascii="Times New Roman" w:hAnsi="Times New Roman" w:cs="Times New Roman"/>
        </w:rPr>
        <w:t>. J Gen Virol 98:2–3.</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Bhatt S, Gething PW, Brady OJ, Messina JP, Farlow AW, Moyes CL, Drake JM, Brownstein JS, Hoen AG, Sankoh O, Myers MF, George DB, Jaenisch T, Wint GR, Simmons CP, Scott TW, Farrar JJ, Hay SI. 2013. The global distribution and burden of dengue. Nature 496:504–507.</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Gould E, Pettersson J, Higgs S, Charrel R, de Lamballerie X. 2017. Emerging arboviruses: why today? One Health 4:1–13.</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Weaver SC, Barrett AD. 2004. Transmission cycles, host range, evolution and emergence of arboviral disease. Nat Rev Microbiol 2:789–801.</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Mordecai EA, Ryan SJ, Caldwell JM, Shah MM, LaBeaud AD. 2020. Climate change could shift disease burden from malaria to arboviruses in Africa. Lancet Planet Health 4:e416–e423.</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 xml:space="preserve">Messina JP, Brady OJ, Golding N, Kraemer MUG, Wint GRW, Ray SE, Pigott DM, Shearer FM, Johnson K, Earl L, Marczak LB, Shirude S, Davis Weaver N, Gilbert M, Velayudhan R, Jones P, Jaenisch T, Scott TW, Reiner RC Jr, Hay SI. 2019. The current </w:t>
      </w:r>
      <w:r>
        <w:rPr>
          <w:rFonts w:ascii="Times New Roman" w:hAnsi="Times New Roman" w:cs="Times New Roman"/>
        </w:rPr>
        <w:lastRenderedPageBreak/>
        <w:t>and future global distribution and population at risk of dengue. Nat Microbiol 4:1508–1515.</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Blitvich BJ, Firth AE. 2015. Insect-specific flaviviruses: a systematic review of their discovery, host range, mode of transmission, superinfection exclusion potential and genomic organization. Viruses 7:1927–1959.</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Blitvich BJ, Firth AE. 2017. A review of flaviviruses that have no known arthropod vector. Viruses 9:154.</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 xml:space="preserve">Stollar V, Thomas VL. 1975. An agent in the </w:t>
      </w:r>
      <w:r>
        <w:rPr>
          <w:rFonts w:ascii="Times New Roman" w:hAnsi="Times New Roman" w:cs="Times New Roman"/>
          <w:i/>
          <w:iCs/>
        </w:rPr>
        <w:t>Aedes aegypti</w:t>
      </w:r>
      <w:r>
        <w:rPr>
          <w:rFonts w:ascii="Times New Roman" w:hAnsi="Times New Roman" w:cs="Times New Roman"/>
        </w:rPr>
        <w:t xml:space="preserve"> cell line (Peleg) which causes fusion of </w:t>
      </w:r>
      <w:r>
        <w:rPr>
          <w:rFonts w:ascii="Times New Roman" w:hAnsi="Times New Roman" w:cs="Times New Roman"/>
          <w:i/>
          <w:iCs/>
        </w:rPr>
        <w:t>Aedes albopictus</w:t>
      </w:r>
      <w:r>
        <w:rPr>
          <w:rFonts w:ascii="Times New Roman" w:hAnsi="Times New Roman" w:cs="Times New Roman"/>
        </w:rPr>
        <w:t xml:space="preserve"> cells. Virology 64:367–377.</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Bolling BG, Weaver SC, Tesh RB, Vasilakis N. 2015. Insect-specific virus discovery: significance for the arbovirus community. Viruses 7:4911–4928.</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Roundy CM, Azar SR, Rossi SL, Weaver SC, Vasilakis N. 2017. Insect-specific viruses: a historical overview and recent developments. Adv Virus Res 98:119–146.</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Junglen S, Drosten C. 2013. Virus discovery and recent insights into virus diversity in arthropods. Curr Opin Microbiol 16:507–513.</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Hobson-Peters J, Yam AW, Lu JW, Setoh YX, May FJ, Kurber N, Walsh S, Prow NA, Lee YS, Peng NY, Cheung PP, Khromykh AA, Hall RA. 2013. A new insect-specific flavivirus from northern Australia suppresses replication of West Nile virus and Murray Valley encephalitis virus in co-infected mosquito cells. PLoS One 8:e56534.</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Nasar F, Palacios G, Gorchakov RV, Guzman H, Da Rosa AP, Savji N, Popov VL, Sherman MB, Lipkin WI, Tesh RB, Weaver SC. 2012. Eilat virus, a unique alphavirus with host range restricted to insects by RNA replication. Proc Natl Acad Sci U S A 109:14622–14627.</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lastRenderedPageBreak/>
        <w:t>Junglen S, Kordes J, Tsakou-Ngouafo L, Kalber M, Goerge S, Schmitz H, Campos R, Czerny CP, Drosten C. 2017. Host range restriction of insect-specific flaviviruses occurs at several levels of the viral life cycle. mSphere 2:e00375-16.</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Hobson-Peters J, Harrison JJ, Watterson D, Hazlewood JE, Vet LJ, Newton ND, Ramsland PA, Hall RA, Bielefeldt-Ohmann H, Simmonds P. 2019. A recombinant platform for flavivirus vaccines and diagnostics using chimeras of a new insect-specific virus. Sci Transl Med 11:eaax7888.</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Piyasena TBH, Setoh YX, Hobson-Peters J, Newton ND, Vet LJ, Khromykh AA, Hall RA. 2017. Infectious DNAs derived from insect-specific flavivirus genomes enable identification of pre- and post-entry host restrictions in vertebrate cells. Sci Rep 7:2940.</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Takata MA, Gonçalves-Carneiro D, Zang TM, Soll SJ, York A, Blanco-Melo D, Bieniasz PD. 2017. CG dinucleotide suppression enables antiviral defence targeting non-self RNA. Nature 550:124–127.</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Ficarelli M, Wilson H, Pedro Galão R, Mazber M, Marsh M, Neil SJ, Swanson CM. 2019. KHNYN is essential for the zinc finger antiviral protein (ZAP) to restrict HIV-1 containing clustered CpG dinucleotides. eLife 8:e46767.</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Greenbaum BD, Levine AJ, Bhanot G, Rabadan R. 2008. Patterns of evolution and host gene mimicry in influenza and other RNA viruses. PLoS Pathog 4:e1000079.</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Karlin S, Doerfler W, Cardon LR. 1994. Why is CpG suppressed in the genomes of virtually all small eukaryotic viruses but not in those of large eukaryotic viruses? J Virol 68:2889–2897.</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Wreschner DH, McCauley JW, Skehel JJ, Kerr IM. 1981. Interferon action—sequence specificity of the ppp(A2’p)nA-dependent ribonuclease. Nature 289:414–417.</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lastRenderedPageBreak/>
        <w:t>Washenberger CL, Han JQ, Kechris KJ, Jha BK, Silverman RH, Barton DJ. 2007. Hepatitis C virus RNA: dinucleotide frequencies and cleavage by RNase L. Virus Res 130:85–95.</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Bahir I, Fromer M, Prat Y, Linial M. 2009. Viral adaptation to host: a proteome-based analysis of codon usage and amino acid preferences. Mol Syst Biol 5:311.</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Jenkins GM, Holmes EC. 2003. The extent of codon usage bias in human RNA viruses and its evolutionary origin. Virus Res 92:1–7.</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Plotkin JB, Kudla G. 2011. Synonymous but not the same: the causes and consequences of codon bias. Nat Rev Genet 12:32–42.</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Tuller T, Carmi A, Vestsigian K, Navon S, Dorfan Y, Zaborske J, Pan T, Dahan O, Furman I, Pilpel Y. 2010. An evolutionarily conserved mechanism for controlling the efficiency of protein translation. Cell 141:344–354.</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Coffey LL, Vasilakis N, Brault AC, Powers AM, Tripet F, Weaver SC. 2008. Arbovirus evolution in vivo is constrained by host alternation. Proc Natl Acad Sci U S A 105:6970–6975.</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Moratorio G, Henningsson R, Barbezange C, Carrau L, Bordería AV, Blanc H, Beaucourt S, Poirier EZ, Vallet T, Boussier J, Mber C, Simon-Loriere E, Vignuzzi M. 2017. Attenuation of RNA viruses by redirecting their evolution in sequence space. Nat Microbiol 2:17088.</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Sharp PM, Li WH. 1987. The codon adaptation index—a measure of directional synonymous codon usage bias, and its potential applications. Nucleic Acids Res 15:1281–1295.</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lastRenderedPageBreak/>
        <w:t>Fros JJ, Dietrich I, Alshaikhahmed K, Pascoal TL, Evans DJ, Simmonds P. 2017. CpG and UpA dinucleotides in both coding and non-coding regions of echovirus 7 inhibit replication initiation post-entry. eLife 6:e29112.</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Simmonds P, Xia W, Baillie JK, McKinnon K. 2013. Modelling mutational and selection pressures on dinucleotides in eukaryotic phyla—selection against CpG and UpA in cytoplasmically expressed RNA and in RNA viruses. BMC Genomics 14:610.</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Roberts DR, Bahn V, Ciuti S, Boyce MS, Elith J, Guillera-Arroita G, Hauenstein S, Lahoz-Monfort JJ, Schröder B, Thuiller W, Warton DI, Wintle BA, Hartig F, Dormann CF. 2017. Cross-validation strategies for data with temporal, spatial, hierarchical, or phylogenetic structure. Ecography 40:913–929.</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Sayers EW, Bolton EE, Brister JR, Canese K, Chan J, Comeau DC, Connor R, Funk K, Kelly C, Kim S, Madej T, Marchler-Bauer A, Lanczycki C, Lathrop S, Lu Z, Thibaud-Nissen F, Murphy T, Phan L, Skripchenko Y, Tse T, Wang J, Williams R, Trawick BW, Pruitt KD, Sherry ST. 2022. Database resources of the National Center for Biotechnology Information. Nucleic Acids Res 50:D218–D230.</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Cock PJ, Antao T, Chang JT, Chapman BA, Cox CJ, Dalke A, Friedberg I, Hamelryck T, Kauff F, Wilczynski B, de Hoon MJ. 2009. Biopython: freely available Python tools for computational molecular biology and bioinformatics. Bioinformatics 25:1422–1423.</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 xml:space="preserve">Calisher CH, Gould EA. 2003. Taxonomy of the virus family </w:t>
      </w:r>
      <w:r>
        <w:rPr>
          <w:rFonts w:ascii="Times New Roman" w:hAnsi="Times New Roman" w:cs="Times New Roman"/>
          <w:i/>
          <w:iCs/>
        </w:rPr>
        <w:t>Flaviviridae</w:t>
      </w:r>
      <w:r>
        <w:rPr>
          <w:rFonts w:ascii="Times New Roman" w:hAnsi="Times New Roman" w:cs="Times New Roman"/>
        </w:rPr>
        <w:t>. Adv Virus Res 59:1–19.</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 xml:space="preserve">Stapleton JT, Foung S, Muerhoff AS, Bukh J, Simmonds P. 2011. The GB viruses: a review and proposed classification of GBV-A, GBV-C (HGV), and GBV-D in genus </w:t>
      </w:r>
      <w:r>
        <w:rPr>
          <w:rFonts w:ascii="Times New Roman" w:hAnsi="Times New Roman" w:cs="Times New Roman"/>
          <w:i/>
          <w:iCs/>
        </w:rPr>
        <w:t>Pegivirus</w:t>
      </w:r>
      <w:r>
        <w:rPr>
          <w:rFonts w:ascii="Times New Roman" w:hAnsi="Times New Roman" w:cs="Times New Roman"/>
        </w:rPr>
        <w:t xml:space="preserve"> within the family </w:t>
      </w:r>
      <w:r>
        <w:rPr>
          <w:rFonts w:ascii="Times New Roman" w:hAnsi="Times New Roman" w:cs="Times New Roman"/>
          <w:i/>
          <w:iCs/>
        </w:rPr>
        <w:t>Flaviviridae</w:t>
      </w:r>
      <w:r>
        <w:rPr>
          <w:rFonts w:ascii="Times New Roman" w:hAnsi="Times New Roman" w:cs="Times New Roman"/>
        </w:rPr>
        <w:t>. J Gen Virol 92:233–246.</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lastRenderedPageBreak/>
        <w:t>Karlin S, Burge C. 1995. Dinucleotide relative abundance extremes: a genomic signature. Trends Genet 11:283–290.</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Pedregosa F, Varoquaux G, Gramfort A, Michel V, Thirion B, Grisel O, Blondel M, Prettenhofer P, Weiss R, Dubourg V, Vanderplas J, Passos A, Cournapeau D, Brucher M, Perrot M, Duchesnay E. 2011. Scikit-learn: machine learning in Python. J Mach Learn Res 12:2825–2830.</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Mann HB, Whitney DR. 1947. On a test of whether one of two random variables is stochastically larger than the other. Ann Math Stat 18:50–60.</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Cohen J. 1988. Statistical power analysis for the behavioral sciences, 2nd ed. Lawrence Erlbaum Associates, Hillsdale, NJ.</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Sawilowsky SS. 2009. New effect size rules of thumb. J Mod Appl Stat Methods 8:597–599.</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 xml:space="preserve">Davis J, Goadrich M. 2006. The relationship between precision-recall and ROC curves, p 233–240. </w:t>
      </w:r>
      <w:r>
        <w:rPr>
          <w:rFonts w:ascii="Times New Roman" w:hAnsi="Times New Roman" w:cs="Times New Roman"/>
          <w:i/>
          <w:iCs/>
        </w:rPr>
        <w:t>In</w:t>
      </w:r>
      <w:r>
        <w:rPr>
          <w:rFonts w:ascii="Times New Roman" w:hAnsi="Times New Roman" w:cs="Times New Roman"/>
        </w:rPr>
        <w:t xml:space="preserve"> Proceedings of the 23rd International Conference on Machine Learning. ACM, New York, NY.</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Hanley JA, McNeil BJ. 1982. The meaning and use of the area under a receiver operating characteristic (ROC) curve. Radiology 143:29–36.</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 xml:space="preserve">Brodersen KH, Ong CS, Stephan KE, Buhmann JM. 2010. The balanced accuracy and its posterior distribution, p 3121–3124. </w:t>
      </w:r>
      <w:r>
        <w:rPr>
          <w:rFonts w:ascii="Times New Roman" w:hAnsi="Times New Roman" w:cs="Times New Roman"/>
          <w:i/>
          <w:iCs/>
        </w:rPr>
        <w:t>In</w:t>
      </w:r>
      <w:r>
        <w:rPr>
          <w:rFonts w:ascii="Times New Roman" w:hAnsi="Times New Roman" w:cs="Times New Roman"/>
        </w:rPr>
        <w:t xml:space="preserve"> Proceedings of the 20th International Conference on Pattern Recognition. IEEE, Piscataway, NJ.</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Matthews BW. 1975. Comparison of the predicted and observed secondary structure of T4 phage lysozyme. Biochim Biophys Acta 405:442–451.</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Wilcoxon F. 1945. Individual comparisons by ranking methods. Biometrics Bull 1:80–83.</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lastRenderedPageBreak/>
        <w:t>Breiman L. 2001. Random forests. Mach Learn 45:5–32.</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Friedman JH. 2001. Greedy function approximation: a gradient boosting machine. Ann Stat 29:1189–1232.</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Virtanen P, Gommers R, Oliphant TE, Haberland M, Reddy T, Cournapeau D, Burber E, van Mulbregt P, SciPy 1.0 Contributors. 2020. SciPy 1.0: fundamental algorithms for scientific computing in Python. Nat Methods 17:261–272.</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 xml:space="preserve">McKinney W. 2010. Data structures for statistical computing in Python, p 51–56. </w:t>
      </w:r>
      <w:r>
        <w:rPr>
          <w:rFonts w:ascii="Times New Roman" w:hAnsi="Times New Roman" w:cs="Times New Roman"/>
          <w:i/>
          <w:iCs/>
        </w:rPr>
        <w:t>In</w:t>
      </w:r>
      <w:r>
        <w:rPr>
          <w:rFonts w:ascii="Times New Roman" w:hAnsi="Times New Roman" w:cs="Times New Roman"/>
        </w:rPr>
        <w:t xml:space="preserve"> Proceedings of the 9th Python in Science Conference. SciPy, Austin, TX.</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Harris CR, Millman KJ, van der Walt SJ, Gommers R, Virtanen P, Cournapeau D, Wieser E, Taylor J, Berg S, Smith NJ, Kern R, Picus M, Hoyer S, van Kerkwijk MH, Brett M, Haldane A, Del Río JF, Wiebe M, Peterson P, Gérard-Marchant P, Sheppard K, Reddy T, Weckesser W, Abbasi H, Gohlke C, Oliphant TE. 2020. Array programming with NumPy. Nature 585:357–362.</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Hunter JD. 2007. Matplotlib: a 2D graphics environment. Comput Sci Eng 9:90–95.</w:t>
      </w:r>
    </w:p>
    <w:p w:rsidR="00EC1AEE" w:rsidRPr="00D23580" w:rsidRDefault="00B406D8" w:rsidP="00D23580">
      <w:pPr>
        <w:numPr>
          <w:ilvl w:val="0"/>
          <w:numId w:val="6"/>
        </w:numPr>
        <w:spacing w:after="0" w:line="480" w:lineRule="auto"/>
        <w:rPr>
          <w:rFonts w:ascii="Times New Roman" w:hAnsi="Times New Roman" w:cs="Times New Roman"/>
        </w:rPr>
      </w:pPr>
      <w:r>
        <w:rPr>
          <w:rFonts w:ascii="Times New Roman" w:hAnsi="Times New Roman" w:cs="Times New Roman"/>
        </w:rPr>
        <w:t>Waskom ML. 2021. seaborn: statistical data visualization. J Open Source Softw 6:3021.</w:t>
      </w:r>
    </w:p>
    <w:p w:rsidR="00EC1AEE" w:rsidRPr="00A6401C" w:rsidRDefault="00B406D8" w:rsidP="00D23580">
      <w:pPr>
        <w:numPr>
          <w:ilvl w:val="0"/>
          <w:numId w:val="6"/>
        </w:numPr>
        <w:spacing w:after="0" w:line="480" w:lineRule="auto"/>
        <w:rPr>
          <w:rStyle w:val="Strong"/>
          <w:rFonts w:ascii="Times New Roman" w:hAnsi="Times New Roman" w:cs="Times New Roman"/>
          <w:b w:val="0"/>
          <w:bCs w:val="0"/>
        </w:rPr>
      </w:pPr>
      <w:r>
        <w:rPr>
          <w:rFonts w:ascii="Times New Roman" w:hAnsi="Times New Roman" w:cs="Times New Roman"/>
        </w:rPr>
        <w:t xml:space="preserve">Erasmus JH, Auguste AJ, Kaelber JT, Luo H, Rossi SL, Fenton K, Leal G, Kim DY, Chiu W, Wang T, Frolov I, Nasar F, Weaver SC. 2017. A chikungunya fever vaccine utilizing an insect-specific virus platform. </w:t>
      </w:r>
      <w:bookmarkEnd w:id="31"/>
      <w:r>
        <w:rPr>
          <w:rStyle w:val="Strong"/>
          <w:rFonts w:ascii="Times New Roman" w:hAnsi="Times New Roman" w:cs="Times New Roman"/>
          <w:b w:val="0"/>
        </w:rPr>
        <w:t>Nat Med 23(2):192–199.</w:t>
      </w:r>
    </w:p>
    <w:p w:rsidR="00A6401C" w:rsidRPr="00A6401C" w:rsidRDefault="006F4617" w:rsidP="00D23580">
      <w:pPr>
        <w:numPr>
          <w:ilvl w:val="0"/>
          <w:numId w:val="6"/>
        </w:numPr>
        <w:spacing w:after="0" w:line="480" w:lineRule="auto"/>
        <w:rPr>
          <w:rStyle w:val="Strong"/>
          <w:rFonts w:ascii="Times New Roman" w:hAnsi="Times New Roman" w:cs="Times New Roman"/>
          <w:b w:val="0"/>
          <w:bCs w:val="0"/>
        </w:rPr>
      </w:pPr>
      <w:r w:rsidRPr="006F4617">
        <w:rPr>
          <w:rStyle w:val="Strong"/>
          <w:b w:val="0"/>
        </w:rPr>
        <w:t>Guzman H</w:t>
      </w:r>
      <w:r>
        <w:t xml:space="preserve"> et al. 2018. Characterization of three new insect-specific flaviviruses: their relationship to the mosquito-borne flavivirus pathogens. Am J Trop Med Hyg 98:410–419</w:t>
      </w:r>
    </w:p>
    <w:p w:rsidR="00A6401C" w:rsidRPr="006F4617" w:rsidRDefault="006F4617" w:rsidP="00D23580">
      <w:pPr>
        <w:numPr>
          <w:ilvl w:val="0"/>
          <w:numId w:val="6"/>
        </w:numPr>
        <w:spacing w:after="0" w:line="480" w:lineRule="auto"/>
        <w:rPr>
          <w:rFonts w:ascii="Times New Roman" w:hAnsi="Times New Roman" w:cs="Times New Roman"/>
        </w:rPr>
      </w:pPr>
      <w:r w:rsidRPr="006F4617">
        <w:rPr>
          <w:rStyle w:val="Strong"/>
          <w:rFonts w:ascii="Times New Roman" w:hAnsi="Times New Roman" w:cs="Times New Roman"/>
          <w:b w:val="0"/>
        </w:rPr>
        <w:lastRenderedPageBreak/>
        <w:t>Briese T</w:t>
      </w:r>
      <w:r w:rsidRPr="006F4617">
        <w:rPr>
          <w:rFonts w:ascii="Times New Roman" w:hAnsi="Times New Roman" w:cs="Times New Roman"/>
        </w:rPr>
        <w:t>, Loroño-Pino MA, Garcia-Rejon JE, et al. 2017. Complete genome sequence of T'Ho virus, a novel putative flavivirus from the Yucatan Peninsula of Mexico. Virol J 14:110</w:t>
      </w:r>
    </w:p>
    <w:p w:rsidR="00A6401C" w:rsidRPr="006F4617" w:rsidRDefault="00A6401C" w:rsidP="00D23580">
      <w:pPr>
        <w:numPr>
          <w:ilvl w:val="0"/>
          <w:numId w:val="6"/>
        </w:numPr>
        <w:spacing w:after="0" w:line="480" w:lineRule="auto"/>
        <w:rPr>
          <w:rFonts w:ascii="Times New Roman" w:hAnsi="Times New Roman" w:cs="Times New Roman"/>
        </w:rPr>
      </w:pPr>
      <w:r>
        <w:t xml:space="preserve"> </w:t>
      </w:r>
      <w:r w:rsidR="006F4617" w:rsidRPr="006F4617">
        <w:rPr>
          <w:rStyle w:val="Strong"/>
          <w:rFonts w:ascii="Times New Roman" w:hAnsi="Times New Roman" w:cs="Times New Roman"/>
          <w:b w:val="0"/>
        </w:rPr>
        <w:t>Zhang Y</w:t>
      </w:r>
      <w:r w:rsidR="006F4617" w:rsidRPr="006F4617">
        <w:rPr>
          <w:rFonts w:ascii="Times New Roman" w:hAnsi="Times New Roman" w:cs="Times New Roman"/>
        </w:rPr>
        <w:t>, Liang D, Yuan F, et al. 2022. Replication is the key barrier during the dual-host adaptation of mosquito-borne flavivi</w:t>
      </w:r>
      <w:r w:rsidR="003F41D5">
        <w:rPr>
          <w:rFonts w:ascii="Times New Roman" w:hAnsi="Times New Roman" w:cs="Times New Roman"/>
        </w:rPr>
        <w:t xml:space="preserve">ruses. Proc Natl Acad Sci U S A </w:t>
      </w:r>
      <w:r w:rsidR="006F4617" w:rsidRPr="006F4617">
        <w:rPr>
          <w:rFonts w:ascii="Times New Roman" w:hAnsi="Times New Roman" w:cs="Times New Roman"/>
        </w:rPr>
        <w:t>119:e2110491119</w:t>
      </w:r>
    </w:p>
    <w:sectPr w:rsidR="00A6401C" w:rsidRPr="006F4617">
      <w:pgSz w:w="12240" w:h="15840"/>
      <w:pgMar w:top="1701"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352" w:rsidRDefault="00646352">
      <w:pPr>
        <w:spacing w:after="0"/>
      </w:pPr>
      <w:r>
        <w:separator/>
      </w:r>
    </w:p>
  </w:endnote>
  <w:endnote w:type="continuationSeparator" w:id="0">
    <w:p w:rsidR="00646352" w:rsidRDefault="006463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352" w:rsidRDefault="00646352">
      <w:r>
        <w:separator/>
      </w:r>
    </w:p>
  </w:footnote>
  <w:footnote w:type="continuationSeparator" w:id="0">
    <w:p w:rsidR="00646352" w:rsidRDefault="006463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0"/>
    <w:multiLevelType w:val="multilevel"/>
    <w:tmpl w:val="FF6EDA8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ED1845B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D8885BF2"/>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EE"/>
    <w:rsid w:val="0006590F"/>
    <w:rsid w:val="000E133A"/>
    <w:rsid w:val="000E1756"/>
    <w:rsid w:val="000F0126"/>
    <w:rsid w:val="001406DD"/>
    <w:rsid w:val="001545CC"/>
    <w:rsid w:val="0016652B"/>
    <w:rsid w:val="0018710F"/>
    <w:rsid w:val="001E5551"/>
    <w:rsid w:val="00235117"/>
    <w:rsid w:val="002366A2"/>
    <w:rsid w:val="002846C2"/>
    <w:rsid w:val="0029256E"/>
    <w:rsid w:val="003B44AE"/>
    <w:rsid w:val="003D2174"/>
    <w:rsid w:val="003F41D5"/>
    <w:rsid w:val="0041781A"/>
    <w:rsid w:val="00424C13"/>
    <w:rsid w:val="00464497"/>
    <w:rsid w:val="004A1DFF"/>
    <w:rsid w:val="005424B9"/>
    <w:rsid w:val="00547446"/>
    <w:rsid w:val="005924B1"/>
    <w:rsid w:val="005C0421"/>
    <w:rsid w:val="005D2A5F"/>
    <w:rsid w:val="005F0789"/>
    <w:rsid w:val="00646352"/>
    <w:rsid w:val="00693342"/>
    <w:rsid w:val="006C3916"/>
    <w:rsid w:val="006D3FC9"/>
    <w:rsid w:val="006F4617"/>
    <w:rsid w:val="00782B84"/>
    <w:rsid w:val="00806709"/>
    <w:rsid w:val="008A1514"/>
    <w:rsid w:val="008A440B"/>
    <w:rsid w:val="008A6BA4"/>
    <w:rsid w:val="008B706C"/>
    <w:rsid w:val="008C4339"/>
    <w:rsid w:val="008D2660"/>
    <w:rsid w:val="008D49C7"/>
    <w:rsid w:val="008F0F88"/>
    <w:rsid w:val="009364E0"/>
    <w:rsid w:val="0095036E"/>
    <w:rsid w:val="00A12969"/>
    <w:rsid w:val="00A23272"/>
    <w:rsid w:val="00A32DF8"/>
    <w:rsid w:val="00A6401C"/>
    <w:rsid w:val="00A80F51"/>
    <w:rsid w:val="00B22F47"/>
    <w:rsid w:val="00B30118"/>
    <w:rsid w:val="00B406D8"/>
    <w:rsid w:val="00B6721C"/>
    <w:rsid w:val="00B76446"/>
    <w:rsid w:val="00B82424"/>
    <w:rsid w:val="00B86A86"/>
    <w:rsid w:val="00BB15B6"/>
    <w:rsid w:val="00BD59E4"/>
    <w:rsid w:val="00BE7086"/>
    <w:rsid w:val="00C12E47"/>
    <w:rsid w:val="00C24593"/>
    <w:rsid w:val="00C313B6"/>
    <w:rsid w:val="00C9023B"/>
    <w:rsid w:val="00CC14DA"/>
    <w:rsid w:val="00CD3D93"/>
    <w:rsid w:val="00CF0D9B"/>
    <w:rsid w:val="00D23580"/>
    <w:rsid w:val="00D64545"/>
    <w:rsid w:val="00D83C83"/>
    <w:rsid w:val="00D90D74"/>
    <w:rsid w:val="00DF4098"/>
    <w:rsid w:val="00E148F5"/>
    <w:rsid w:val="00E33838"/>
    <w:rsid w:val="00EC1AEE"/>
    <w:rsid w:val="00EF5549"/>
    <w:rsid w:val="00F0584B"/>
    <w:rsid w:val="00F214B7"/>
    <w:rsid w:val="00F36B4D"/>
    <w:rsid w:val="00F41F4A"/>
    <w:rsid w:val="00F60B90"/>
    <w:rsid w:val="00F839C7"/>
    <w:rsid w:val="00FC0144"/>
    <w:rsid w:val="00FC228C"/>
    <w:rsid w:val="00FE7384"/>
    <w:rsid w:val="00FE794D"/>
  </w:rsids>
  <m:mathPr>
    <m:mathFont m:val="Cambria Math"/>
    <m:brkBin m:val="before"/>
    <m:brkBinSub m:val="--"/>
    <m:smallFrac m:val="0"/>
    <m:dispDef/>
    <m:lMargin m:val="0"/>
    <m:rMargin m:val="0"/>
    <m:defJc m:val="centerGroup"/>
    <m:wrapRight/>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52E6A6"/>
  <w14:defaultImageDpi w14:val="330"/>
  <w15:docId w15:val="{3CDE9B27-3A94-41BB-9050-D3E8DA9A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Strong">
    <w:name w:val="Strong"/>
    <w:basedOn w:val="DefaultParagraphFont"/>
    <w:uiPriority w:val="22"/>
    <w:qFormat/>
    <w:rsid w:val="00EF5549"/>
    <w:rPr>
      <w:b/>
      <w:bCs/>
    </w:rPr>
  </w:style>
  <w:style w:type="paragraph" w:customStyle="1" w:styleId="paragraph">
    <w:name w:val="paragraph"/>
    <w:basedOn w:val="Normal"/>
    <w:rsid w:val="00A32DF8"/>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A32DF8"/>
  </w:style>
  <w:style w:type="character" w:customStyle="1" w:styleId="eop">
    <w:name w:val="eop"/>
    <w:basedOn w:val="DefaultParagraphFont"/>
    <w:rsid w:val="00A32DF8"/>
  </w:style>
  <w:style w:type="character" w:styleId="Emphasis">
    <w:name w:val="Emphasis"/>
    <w:basedOn w:val="DefaultParagraphFont"/>
    <w:uiPriority w:val="20"/>
    <w:qFormat/>
    <w:rsid w:val="00B22F47"/>
    <w:rPr>
      <w:i/>
      <w:iCs/>
    </w:rPr>
  </w:style>
  <w:style w:type="paragraph" w:styleId="NormalWeb">
    <w:name w:val="Normal (Web)"/>
    <w:basedOn w:val="Normal"/>
    <w:uiPriority w:val="99"/>
    <w:semiHidden/>
    <w:unhideWhenUsed/>
    <w:rsid w:val="001E5551"/>
    <w:pPr>
      <w:spacing w:before="100" w:beforeAutospacing="1" w:after="100" w:afterAutospacing="1"/>
    </w:pPr>
    <w:rPr>
      <w:rFonts w:ascii="Times New Roman" w:eastAsia="Times New Roman" w:hAnsi="Times New Roman" w:cs="Times New Roman"/>
      <w:lang w:eastAsia="ko-KR"/>
    </w:rPr>
  </w:style>
  <w:style w:type="character" w:customStyle="1" w:styleId="math-inline">
    <w:name w:val="math-inline"/>
    <w:basedOn w:val="DefaultParagraphFont"/>
    <w:rsid w:val="001E5551"/>
  </w:style>
  <w:style w:type="character" w:customStyle="1" w:styleId="katex-mathml">
    <w:name w:val="katex-mathml"/>
    <w:basedOn w:val="DefaultParagraphFont"/>
    <w:rsid w:val="008A440B"/>
  </w:style>
  <w:style w:type="character" w:customStyle="1" w:styleId="mord">
    <w:name w:val="mord"/>
    <w:basedOn w:val="DefaultParagraphFont"/>
    <w:rsid w:val="008A440B"/>
  </w:style>
  <w:style w:type="character" w:customStyle="1" w:styleId="mopen">
    <w:name w:val="mopen"/>
    <w:basedOn w:val="DefaultParagraphFont"/>
    <w:rsid w:val="008A440B"/>
  </w:style>
  <w:style w:type="character" w:customStyle="1" w:styleId="mclose">
    <w:name w:val="mclose"/>
    <w:basedOn w:val="DefaultParagraphFont"/>
    <w:rsid w:val="008A440B"/>
  </w:style>
  <w:style w:type="character" w:customStyle="1" w:styleId="mrel">
    <w:name w:val="mrel"/>
    <w:basedOn w:val="DefaultParagraphFont"/>
    <w:rsid w:val="008A4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487639">
      <w:bodyDiv w:val="1"/>
      <w:marLeft w:val="0"/>
      <w:marRight w:val="0"/>
      <w:marTop w:val="0"/>
      <w:marBottom w:val="0"/>
      <w:divBdr>
        <w:top w:val="none" w:sz="0" w:space="0" w:color="auto"/>
        <w:left w:val="none" w:sz="0" w:space="0" w:color="auto"/>
        <w:bottom w:val="none" w:sz="0" w:space="0" w:color="auto"/>
        <w:right w:val="none" w:sz="0" w:space="0" w:color="auto"/>
      </w:divBdr>
    </w:div>
    <w:div w:id="1721442540">
      <w:bodyDiv w:val="1"/>
      <w:marLeft w:val="0"/>
      <w:marRight w:val="0"/>
      <w:marTop w:val="0"/>
      <w:marBottom w:val="0"/>
      <w:divBdr>
        <w:top w:val="none" w:sz="0" w:space="0" w:color="auto"/>
        <w:left w:val="none" w:sz="0" w:space="0" w:color="auto"/>
        <w:bottom w:val="none" w:sz="0" w:space="0" w:color="auto"/>
        <w:right w:val="none" w:sz="0" w:space="0" w:color="auto"/>
      </w:divBdr>
    </w:div>
    <w:div w:id="1911622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https://github.com/brhanufen/Orthoflavivirus-host-range-classification"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43</Pages>
  <Words>6885</Words>
  <Characters>39246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Brhanu Fentaw Znabu</dc:creator>
  <cp:keywords/>
  <cp:lastModifiedBy>Brhanu Fentaw Znabu</cp:lastModifiedBy>
  <cp:revision>17</cp:revision>
  <cp:lastPrinted>2026-02-18T21:50:00Z</cp:lastPrinted>
  <dcterms:created xsi:type="dcterms:W3CDTF">2026-02-18T17:53:00Z</dcterms:created>
  <dcterms:modified xsi:type="dcterms:W3CDTF">2026-02-19T00:17:00Z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139af067-3b31-4a4b-88c6-d884a8731c4f</vt:lpwstr>
  </property>
</Properties>
</file>